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76A75A14" w:rsidR="00A160B2" w:rsidRPr="002C6626" w:rsidRDefault="002665BA" w:rsidP="006C3150">
            <w:pPr>
              <w:pStyle w:val="Heading1"/>
              <w:outlineLvl w:val="0"/>
            </w:pPr>
            <w:r>
              <w:t>Chief Officer Employment Panel</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0D90202D" w:rsidR="00A160B2" w:rsidRDefault="002C6626" w:rsidP="006C3150">
            <w:pPr>
              <w:pStyle w:val="Infotext"/>
              <w:rPr>
                <w:rFonts w:cs="Arial"/>
              </w:rPr>
            </w:pPr>
            <w:r>
              <w:rPr>
                <w:rFonts w:cs="Arial"/>
              </w:rPr>
              <w:t>18</w:t>
            </w:r>
            <w:r w:rsidRPr="002C6626">
              <w:rPr>
                <w:rFonts w:cs="Arial"/>
                <w:vertAlign w:val="superscript"/>
              </w:rPr>
              <w:t>th</w:t>
            </w:r>
            <w:r>
              <w:rPr>
                <w:rFonts w:cs="Arial"/>
              </w:rPr>
              <w:t xml:space="preserve"> March 2021</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7AC16820" w14:textId="77777777" w:rsidR="00EB4C1E" w:rsidRPr="00DF4A0B" w:rsidRDefault="00EB4C1E" w:rsidP="00EB4C1E">
            <w:pPr>
              <w:spacing w:before="40" w:after="40" w:line="276" w:lineRule="auto"/>
              <w:rPr>
                <w:rFonts w:cs="Arial"/>
                <w:sz w:val="28"/>
                <w:szCs w:val="28"/>
              </w:rPr>
            </w:pPr>
            <w:r w:rsidRPr="00DF4A0B">
              <w:rPr>
                <w:rFonts w:cs="Arial"/>
                <w:sz w:val="28"/>
                <w:szCs w:val="28"/>
              </w:rPr>
              <w:t xml:space="preserve">Re-grading of the posts of Director of Education and Director People Services Strategy and Commissioning </w:t>
            </w:r>
          </w:p>
          <w:p w14:paraId="5914456E" w14:textId="77777777" w:rsidR="00A160B2" w:rsidRDefault="00A160B2" w:rsidP="006C3150">
            <w:pPr>
              <w:pStyle w:val="Infotext"/>
              <w:rPr>
                <w:rFonts w:cs="Arial"/>
              </w:rPr>
            </w:pP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7234854" w14:textId="77777777" w:rsidR="00EB4C1E" w:rsidRPr="00DF4A0B" w:rsidRDefault="00EB4C1E" w:rsidP="00EB4C1E">
            <w:pPr>
              <w:rPr>
                <w:rFonts w:cs="Arial"/>
                <w:sz w:val="28"/>
                <w:szCs w:val="28"/>
                <w:lang w:eastAsia="en-GB"/>
              </w:rPr>
            </w:pPr>
            <w:r w:rsidRPr="00DF4A0B">
              <w:rPr>
                <w:rFonts w:cs="Arial"/>
                <w:sz w:val="28"/>
                <w:szCs w:val="28"/>
                <w:lang w:eastAsia="en-GB"/>
              </w:rPr>
              <w:t>Paul Hewitt</w:t>
            </w:r>
          </w:p>
          <w:p w14:paraId="4F9AA79A" w14:textId="77777777" w:rsidR="00EB4C1E" w:rsidRPr="00DF4A0B" w:rsidRDefault="00EB4C1E" w:rsidP="00EB4C1E">
            <w:pPr>
              <w:rPr>
                <w:rFonts w:cs="Arial"/>
                <w:sz w:val="28"/>
                <w:szCs w:val="28"/>
                <w:lang w:eastAsia="en-GB"/>
              </w:rPr>
            </w:pPr>
            <w:r w:rsidRPr="00DF4A0B">
              <w:rPr>
                <w:rFonts w:cs="Arial"/>
                <w:sz w:val="28"/>
                <w:szCs w:val="28"/>
                <w:lang w:eastAsia="en-GB"/>
              </w:rPr>
              <w:t xml:space="preserve">Corporate Director People Services </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C873B59" w14:textId="2673E925" w:rsidR="00A160B2" w:rsidRDefault="005A23BA" w:rsidP="006C3150">
            <w:pPr>
              <w:pStyle w:val="Infotext"/>
              <w:rPr>
                <w:rFonts w:cs="Arial"/>
              </w:rPr>
            </w:pPr>
            <w:r>
              <w:rPr>
                <w:szCs w:val="28"/>
              </w:rPr>
              <w:t xml:space="preserve">No </w:t>
            </w:r>
          </w:p>
        </w:tc>
      </w:tr>
      <w:tr w:rsidR="00A160B2" w14:paraId="521D9222" w14:textId="77777777" w:rsidTr="006C3150">
        <w:tc>
          <w:tcPr>
            <w:tcW w:w="3456" w:type="dxa"/>
          </w:tcPr>
          <w:p w14:paraId="773B22E1" w14:textId="77777777" w:rsidR="00EB4C1E" w:rsidRDefault="00EB4C1E" w:rsidP="006C3150">
            <w:pPr>
              <w:pStyle w:val="Infotext"/>
              <w:rPr>
                <w:rFonts w:ascii="Arial Black" w:hAnsi="Arial Black" w:cs="Arial"/>
              </w:rPr>
            </w:pPr>
          </w:p>
          <w:p w14:paraId="0B00FD26" w14:textId="77777777" w:rsidR="00EB4C1E" w:rsidRDefault="00EB4C1E" w:rsidP="006C3150">
            <w:pPr>
              <w:pStyle w:val="Infotext"/>
              <w:rPr>
                <w:rFonts w:ascii="Arial Black" w:hAnsi="Arial Black" w:cs="Arial"/>
              </w:rPr>
            </w:pPr>
          </w:p>
          <w:p w14:paraId="4ABD9246" w14:textId="32B5FEE9"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19100241" w14:textId="09646D42" w:rsidR="00EB4C1E" w:rsidRDefault="00EB4C1E" w:rsidP="006C3150">
            <w:pPr>
              <w:pStyle w:val="Infotext"/>
              <w:rPr>
                <w:rFonts w:cs="Arial"/>
                <w:b/>
                <w:color w:val="FF0000"/>
                <w:szCs w:val="24"/>
              </w:rPr>
            </w:pPr>
          </w:p>
          <w:p w14:paraId="6CC0212A" w14:textId="77777777" w:rsidR="00A615AC" w:rsidRDefault="00A615AC" w:rsidP="006C3150">
            <w:pPr>
              <w:pStyle w:val="Infotext"/>
              <w:rPr>
                <w:rFonts w:cs="Arial"/>
                <w:b/>
                <w:color w:val="FF0000"/>
                <w:szCs w:val="24"/>
              </w:rPr>
            </w:pPr>
          </w:p>
          <w:p w14:paraId="6CD568AC" w14:textId="000DCCF0" w:rsidR="00A160B2" w:rsidRDefault="00EB4C1E" w:rsidP="006C3150">
            <w:pPr>
              <w:pStyle w:val="Infotext"/>
            </w:pPr>
            <w:r>
              <w:rPr>
                <w:b/>
              </w:rPr>
              <w:t>N/A</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50A357DA" w14:textId="77777777" w:rsidR="00EB4C1E" w:rsidRPr="00DF4A0B" w:rsidRDefault="00EB4C1E" w:rsidP="00EB4C1E">
            <w:pPr>
              <w:pStyle w:val="Infotext"/>
              <w:rPr>
                <w:rFonts w:cs="Arial"/>
                <w:szCs w:val="28"/>
              </w:rPr>
            </w:pPr>
            <w:r w:rsidRPr="00DF4A0B">
              <w:rPr>
                <w:rFonts w:cs="Arial"/>
                <w:szCs w:val="28"/>
              </w:rPr>
              <w:t>Appendix 1: Job Description</w:t>
            </w:r>
            <w:r>
              <w:rPr>
                <w:rFonts w:cs="Arial"/>
                <w:szCs w:val="28"/>
              </w:rPr>
              <w:t>s</w:t>
            </w:r>
            <w:r w:rsidRPr="00DF4A0B">
              <w:rPr>
                <w:rFonts w:cs="Arial"/>
                <w:szCs w:val="28"/>
              </w:rPr>
              <w:t xml:space="preserve"> &amp; Person Specification</w:t>
            </w:r>
            <w:r>
              <w:rPr>
                <w:rFonts w:cs="Arial"/>
                <w:szCs w:val="28"/>
              </w:rPr>
              <w:t>s</w:t>
            </w:r>
            <w:r w:rsidRPr="00DF4A0B">
              <w:rPr>
                <w:rFonts w:cs="Arial"/>
                <w:szCs w:val="28"/>
              </w:rPr>
              <w:t xml:space="preserve"> – information only</w:t>
            </w:r>
          </w:p>
          <w:p w14:paraId="4C232B02" w14:textId="6A476966" w:rsidR="00A160B2" w:rsidRDefault="00A160B2" w:rsidP="006C3150">
            <w:pPr>
              <w:pStyle w:val="Infotext"/>
            </w:pP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1DC81B2F" w14:textId="77777777" w:rsidR="00A160B2" w:rsidRDefault="00A160B2" w:rsidP="006C3150">
            <w:pPr>
              <w:pStyle w:val="Infotext"/>
              <w:rPr>
                <w:rFonts w:ascii="Arial Black" w:hAnsi="Arial Black" w:cs="Arial"/>
              </w:rPr>
            </w:pPr>
          </w:p>
          <w:p w14:paraId="20C7ABF9" w14:textId="77777777" w:rsidR="00946E23" w:rsidRDefault="00946E23" w:rsidP="006C3150">
            <w:pPr>
              <w:pStyle w:val="Infotext"/>
              <w:rPr>
                <w:rFonts w:ascii="Arial Black" w:hAnsi="Arial Black" w:cs="Arial"/>
              </w:rPr>
            </w:pPr>
          </w:p>
          <w:p w14:paraId="271D3764" w14:textId="77777777" w:rsidR="00946E23" w:rsidRDefault="00946E23" w:rsidP="006C3150">
            <w:pPr>
              <w:pStyle w:val="Infotext"/>
              <w:rPr>
                <w:rFonts w:ascii="Arial Black" w:hAnsi="Arial Black" w:cs="Arial"/>
              </w:rPr>
            </w:pPr>
          </w:p>
          <w:p w14:paraId="26E2B931" w14:textId="77777777" w:rsidR="00946E23" w:rsidRDefault="00946E23" w:rsidP="006C3150">
            <w:pPr>
              <w:pStyle w:val="Infotext"/>
              <w:rPr>
                <w:rFonts w:ascii="Arial Black" w:hAnsi="Arial Black" w:cs="Arial"/>
              </w:rPr>
            </w:pPr>
          </w:p>
          <w:p w14:paraId="62E759AD" w14:textId="77777777" w:rsidR="00946E23" w:rsidRDefault="00946E23" w:rsidP="006C3150">
            <w:pPr>
              <w:pStyle w:val="Infotext"/>
              <w:rPr>
                <w:rFonts w:ascii="Arial Black" w:hAnsi="Arial Black" w:cs="Arial"/>
              </w:rPr>
            </w:pPr>
          </w:p>
          <w:p w14:paraId="6068299F" w14:textId="77777777" w:rsidR="00946E23" w:rsidRDefault="00946E23" w:rsidP="006C3150">
            <w:pPr>
              <w:pStyle w:val="Infotext"/>
              <w:rPr>
                <w:rFonts w:ascii="Arial Black" w:hAnsi="Arial Black" w:cs="Arial"/>
              </w:rPr>
            </w:pPr>
          </w:p>
          <w:p w14:paraId="097D2FFB" w14:textId="77777777" w:rsidR="00946E23" w:rsidRPr="00F92398" w:rsidRDefault="00946E23"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E763E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E763E6">
        <w:trPr>
          <w:tblHeader/>
        </w:trPr>
        <w:tc>
          <w:tcPr>
            <w:tcW w:w="8309" w:type="dxa"/>
            <w:tcBorders>
              <w:left w:val="nil"/>
              <w:bottom w:val="nil"/>
              <w:right w:val="nil"/>
            </w:tcBorders>
          </w:tcPr>
          <w:p w14:paraId="2C9E4A81" w14:textId="1F8A3344" w:rsidR="00A160B2" w:rsidRPr="00772D28" w:rsidRDefault="00EB4C1E" w:rsidP="00772D28">
            <w:pPr>
              <w:jc w:val="both"/>
              <w:rPr>
                <w:rFonts w:cs="Arial"/>
                <w:szCs w:val="24"/>
              </w:rPr>
            </w:pPr>
            <w:r w:rsidRPr="00772D28">
              <w:rPr>
                <w:rFonts w:cs="Arial"/>
                <w:szCs w:val="24"/>
              </w:rPr>
              <w:t>This report makes a recommendation in relation to the review of the senior management structure of People Services for Education Services and People Services Commissioning and Strategy and proposes additional responsibilities and approval of remuneration packages.</w:t>
            </w:r>
          </w:p>
          <w:p w14:paraId="13DD6CE8" w14:textId="77777777" w:rsidR="00EB4C1E" w:rsidRPr="00772D28" w:rsidRDefault="00EB4C1E" w:rsidP="00772D28">
            <w:pPr>
              <w:jc w:val="both"/>
              <w:rPr>
                <w:rFonts w:cs="Arial"/>
                <w:b/>
                <w:szCs w:val="24"/>
              </w:rPr>
            </w:pPr>
          </w:p>
          <w:p w14:paraId="4F9D0A08" w14:textId="77777777" w:rsidR="00A160B2" w:rsidRPr="00772D28" w:rsidRDefault="00A160B2" w:rsidP="00772D28">
            <w:pPr>
              <w:jc w:val="both"/>
              <w:rPr>
                <w:rFonts w:cs="Arial"/>
                <w:b/>
                <w:szCs w:val="24"/>
              </w:rPr>
            </w:pPr>
            <w:r w:rsidRPr="00772D28">
              <w:rPr>
                <w:rFonts w:cs="Arial"/>
                <w:b/>
                <w:szCs w:val="24"/>
              </w:rPr>
              <w:t xml:space="preserve">Recommendations: </w:t>
            </w:r>
          </w:p>
          <w:p w14:paraId="304D953B" w14:textId="2B9A06B6" w:rsidR="00EB4C1E" w:rsidRPr="00DF4A0B" w:rsidRDefault="00A160B2" w:rsidP="00772D28">
            <w:pPr>
              <w:spacing w:before="40" w:after="40" w:line="276" w:lineRule="auto"/>
              <w:jc w:val="both"/>
              <w:rPr>
                <w:rFonts w:cs="Arial"/>
                <w:szCs w:val="24"/>
              </w:rPr>
            </w:pPr>
            <w:r w:rsidRPr="00772D28">
              <w:rPr>
                <w:rFonts w:cs="Arial"/>
                <w:szCs w:val="24"/>
              </w:rPr>
              <w:t xml:space="preserve">The </w:t>
            </w:r>
            <w:r w:rsidR="00BB663C">
              <w:rPr>
                <w:rFonts w:cs="Arial"/>
                <w:szCs w:val="24"/>
              </w:rPr>
              <w:t>P</w:t>
            </w:r>
            <w:r w:rsidR="00EB4C1E" w:rsidRPr="00772D28">
              <w:rPr>
                <w:rFonts w:cs="Arial"/>
                <w:szCs w:val="24"/>
              </w:rPr>
              <w:t xml:space="preserve">anel </w:t>
            </w:r>
            <w:r w:rsidRPr="00772D28">
              <w:rPr>
                <w:rFonts w:cs="Arial"/>
                <w:szCs w:val="24"/>
              </w:rPr>
              <w:t>is requested to</w:t>
            </w:r>
            <w:r w:rsidR="00EB4C1E" w:rsidRPr="00772D28">
              <w:rPr>
                <w:rFonts w:cs="Arial"/>
                <w:szCs w:val="24"/>
              </w:rPr>
              <w:t xml:space="preserve"> approve that the grade of D2 (</w:t>
            </w:r>
            <w:r w:rsidR="00EB4C1E" w:rsidRPr="00772D28">
              <w:rPr>
                <w:rFonts w:eastAsia="Arial" w:cs="Arial"/>
                <w:szCs w:val="24"/>
              </w:rPr>
              <w:t>£109,785 to £123,588</w:t>
            </w:r>
            <w:r w:rsidR="00EB4C1E" w:rsidRPr="00772D28">
              <w:rPr>
                <w:rFonts w:cs="Arial"/>
                <w:szCs w:val="24"/>
              </w:rPr>
              <w:t>) be applied to the posts of Director of Education and Director People Services Strategy and Commissioning</w:t>
            </w:r>
            <w:r w:rsidR="00EB4C1E" w:rsidRPr="00DF4A0B">
              <w:rPr>
                <w:rFonts w:cs="Arial"/>
                <w:szCs w:val="24"/>
              </w:rPr>
              <w:t>.</w:t>
            </w:r>
          </w:p>
          <w:p w14:paraId="714CBDEE" w14:textId="35686489" w:rsidR="00A160B2" w:rsidRDefault="00A160B2" w:rsidP="00A160B2">
            <w:r>
              <w:t xml:space="preserve"> </w:t>
            </w:r>
          </w:p>
        </w:tc>
      </w:tr>
    </w:tbl>
    <w:p w14:paraId="61FAD797" w14:textId="77777777" w:rsidR="00E763E6" w:rsidRPr="00DF4A0B" w:rsidRDefault="00E763E6" w:rsidP="00E763E6">
      <w:pPr>
        <w:pStyle w:val="Heading1"/>
        <w:jc w:val="both"/>
        <w:rPr>
          <w:rFonts w:ascii="Arial" w:hAnsi="Arial"/>
          <w:b w:val="0"/>
          <w:bCs w:val="0"/>
        </w:rPr>
      </w:pPr>
      <w:r w:rsidRPr="00DF4A0B">
        <w:rPr>
          <w:rFonts w:ascii="Arial" w:hAnsi="Arial"/>
          <w:bCs w:val="0"/>
        </w:rPr>
        <w:t>Section 2 – Report</w:t>
      </w:r>
    </w:p>
    <w:p w14:paraId="6F2DA880" w14:textId="77777777" w:rsidR="00E763E6" w:rsidRPr="00334EC4" w:rsidRDefault="00E763E6" w:rsidP="00E763E6">
      <w:pPr>
        <w:rPr>
          <w:rFonts w:cs="Arial"/>
          <w:bCs/>
        </w:rPr>
      </w:pPr>
    </w:p>
    <w:p w14:paraId="45A61EE0" w14:textId="77777777" w:rsidR="00E763E6" w:rsidRPr="00334EC4" w:rsidRDefault="00E763E6" w:rsidP="00E763E6">
      <w:pPr>
        <w:rPr>
          <w:rFonts w:cs="Arial"/>
          <w:b/>
          <w:bCs/>
        </w:rPr>
      </w:pPr>
      <w:r w:rsidRPr="00334EC4">
        <w:rPr>
          <w:rFonts w:cs="Arial"/>
          <w:b/>
          <w:bCs/>
        </w:rPr>
        <w:t>Background</w:t>
      </w:r>
    </w:p>
    <w:p w14:paraId="10FB5244" w14:textId="77777777" w:rsidR="00E763E6" w:rsidRPr="00334EC4" w:rsidRDefault="00E763E6" w:rsidP="00E763E6">
      <w:pPr>
        <w:rPr>
          <w:rFonts w:cs="Arial"/>
          <w:bCs/>
        </w:rPr>
      </w:pPr>
    </w:p>
    <w:p w14:paraId="1E513BE0" w14:textId="77777777" w:rsidR="00890328" w:rsidRDefault="00E763E6" w:rsidP="00890328">
      <w:pPr>
        <w:ind w:left="720" w:hanging="720"/>
        <w:jc w:val="both"/>
        <w:rPr>
          <w:rFonts w:cs="Arial"/>
          <w:szCs w:val="24"/>
        </w:rPr>
      </w:pPr>
      <w:r w:rsidRPr="00334EC4">
        <w:rPr>
          <w:rFonts w:cs="Arial"/>
          <w:vanish/>
        </w:rPr>
        <w:t>2.1</w:t>
      </w:r>
      <w:r w:rsidRPr="00334EC4">
        <w:rPr>
          <w:rFonts w:cs="Arial"/>
        </w:rPr>
        <w:t>2.1</w:t>
      </w:r>
      <w:r w:rsidRPr="00334EC4">
        <w:rPr>
          <w:rFonts w:cs="Arial"/>
        </w:rPr>
        <w:tab/>
      </w:r>
      <w:r w:rsidRPr="00DF4A0B">
        <w:rPr>
          <w:rFonts w:cs="Arial"/>
          <w:szCs w:val="24"/>
        </w:rPr>
        <w:t xml:space="preserve">People Services has a significant number of challenges and opportunities; specifically, budget pressures, supporting our schools and early years community, and social care. At a strategic directorate level, the overall structure and how it is operating in practice is good and fit for purpose. As the structure is sound and the officers are professional and competent, given the scale of the opportunities and challenges, a restructuring exercise is not appropriate at this time. </w:t>
      </w:r>
      <w:r w:rsidR="00890328" w:rsidRPr="00DF4A0B">
        <w:rPr>
          <w:rFonts w:cs="Arial"/>
          <w:szCs w:val="24"/>
        </w:rPr>
        <w:t xml:space="preserve">The proposed changes </w:t>
      </w:r>
      <w:r w:rsidR="00890328">
        <w:rPr>
          <w:rFonts w:cs="Arial"/>
          <w:szCs w:val="24"/>
        </w:rPr>
        <w:t xml:space="preserve">to the role profile and person specification for </w:t>
      </w:r>
      <w:r w:rsidR="00890328" w:rsidRPr="00DF4A0B">
        <w:rPr>
          <w:rFonts w:cs="Arial"/>
        </w:rPr>
        <w:t xml:space="preserve">the posts of Director of Education and </w:t>
      </w:r>
      <w:r w:rsidR="00890328" w:rsidRPr="00DF4A0B">
        <w:rPr>
          <w:rFonts w:cs="Arial"/>
          <w:szCs w:val="24"/>
        </w:rPr>
        <w:t>Director People Services Strategy and Commissioning move forward on this basis, putting in place the</w:t>
      </w:r>
      <w:r w:rsidR="00890328">
        <w:rPr>
          <w:rFonts w:cs="Arial"/>
          <w:szCs w:val="24"/>
        </w:rPr>
        <w:t xml:space="preserve"> </w:t>
      </w:r>
      <w:r w:rsidR="00890328" w:rsidRPr="00DF4A0B">
        <w:rPr>
          <w:rFonts w:cs="Arial"/>
          <w:szCs w:val="24"/>
        </w:rPr>
        <w:t xml:space="preserve">necessary actions to formalise the existing arrangements across the Divisional Directors for Education Services and Strategy and Commissioning. </w:t>
      </w:r>
    </w:p>
    <w:p w14:paraId="350A2C84" w14:textId="5ED9EF51" w:rsidR="00E763E6" w:rsidRPr="00DF4A0B" w:rsidRDefault="00E763E6" w:rsidP="00E763E6">
      <w:pPr>
        <w:jc w:val="both"/>
        <w:rPr>
          <w:rFonts w:cs="Arial"/>
          <w:vanish/>
        </w:rPr>
      </w:pPr>
      <w:r>
        <w:rPr>
          <w:rFonts w:cs="Arial"/>
        </w:rPr>
        <w:tab/>
      </w:r>
    </w:p>
    <w:p w14:paraId="625A84C4" w14:textId="77777777" w:rsidR="00E763E6" w:rsidRPr="00DF4A0B" w:rsidRDefault="00E763E6" w:rsidP="00E763E6">
      <w:pPr>
        <w:jc w:val="both"/>
        <w:rPr>
          <w:rFonts w:cs="Arial"/>
          <w:vanish/>
        </w:rPr>
      </w:pPr>
    </w:p>
    <w:p w14:paraId="45A4319D" w14:textId="77777777" w:rsidR="00E763E6" w:rsidRPr="00DF4A0B" w:rsidRDefault="00E763E6" w:rsidP="00E763E6">
      <w:pPr>
        <w:jc w:val="both"/>
        <w:rPr>
          <w:rFonts w:cs="Arial"/>
          <w:vanish/>
        </w:rPr>
      </w:pPr>
    </w:p>
    <w:p w14:paraId="22A0805F" w14:textId="02697097" w:rsidR="00EB4C1E" w:rsidRDefault="00EB4C1E" w:rsidP="00EB4C1E">
      <w:pPr>
        <w:jc w:val="both"/>
        <w:rPr>
          <w:rFonts w:cs="Arial"/>
          <w:szCs w:val="24"/>
        </w:rPr>
      </w:pPr>
    </w:p>
    <w:p w14:paraId="034192A6" w14:textId="10DAAE9C" w:rsidR="00EB4C1E" w:rsidRDefault="00890328" w:rsidP="00EB4C1E">
      <w:pPr>
        <w:ind w:left="720" w:hanging="720"/>
        <w:jc w:val="both"/>
        <w:rPr>
          <w:rFonts w:cs="Arial"/>
          <w:szCs w:val="24"/>
        </w:rPr>
      </w:pPr>
      <w:r>
        <w:rPr>
          <w:rFonts w:cs="Arial"/>
          <w:szCs w:val="24"/>
        </w:rPr>
        <w:t>2.2</w:t>
      </w:r>
      <w:r w:rsidR="00EB4C1E" w:rsidRPr="00334EC4">
        <w:rPr>
          <w:rFonts w:cs="Arial"/>
          <w:szCs w:val="24"/>
        </w:rPr>
        <w:tab/>
      </w:r>
      <w:r w:rsidR="00EB4C1E" w:rsidRPr="00DF4A0B">
        <w:rPr>
          <w:rFonts w:cs="Arial"/>
          <w:szCs w:val="24"/>
        </w:rPr>
        <w:t>The current structure for People Services was established in April 2016 with the appointment of the Divisional Director Education Services and Divisional Director People Services Strategy, Commercialisation and Regeneration. Since then there have been several service reviews and minor</w:t>
      </w:r>
      <w:r w:rsidR="004639EC">
        <w:rPr>
          <w:rFonts w:cs="Arial"/>
          <w:szCs w:val="24"/>
        </w:rPr>
        <w:t xml:space="preserve"> and major</w:t>
      </w:r>
      <w:r w:rsidR="00EB4C1E" w:rsidRPr="00DF4A0B">
        <w:rPr>
          <w:rFonts w:cs="Arial"/>
          <w:szCs w:val="24"/>
        </w:rPr>
        <w:t xml:space="preserve"> re-structures to realign services and ensure capacity is effectively deployed</w:t>
      </w:r>
      <w:r w:rsidR="00EB4C1E">
        <w:rPr>
          <w:rFonts w:cs="Arial"/>
          <w:szCs w:val="24"/>
        </w:rPr>
        <w:t xml:space="preserve"> including</w:t>
      </w:r>
      <w:r w:rsidR="00EB4C1E" w:rsidRPr="00DF4A0B">
        <w:rPr>
          <w:rFonts w:cs="Arial"/>
          <w:szCs w:val="24"/>
        </w:rPr>
        <w:t xml:space="preserve"> the People Services Commissioning re-structure following the LGA Peer Review and the School Effectiveness and Improvement and Early Years re-structures.</w:t>
      </w:r>
    </w:p>
    <w:p w14:paraId="05A3AC2C" w14:textId="77777777" w:rsidR="00EB4C1E" w:rsidRDefault="00EB4C1E" w:rsidP="00EB4C1E">
      <w:pPr>
        <w:ind w:left="720" w:hanging="720"/>
        <w:jc w:val="both"/>
        <w:rPr>
          <w:rFonts w:cs="Arial"/>
          <w:szCs w:val="24"/>
        </w:rPr>
      </w:pPr>
    </w:p>
    <w:p w14:paraId="7310BA7F" w14:textId="47EEEB19" w:rsidR="00EB4C1E" w:rsidRPr="00DF4A0B" w:rsidRDefault="00EB4C1E" w:rsidP="00EB4C1E">
      <w:pPr>
        <w:ind w:left="720" w:hanging="720"/>
        <w:jc w:val="both"/>
        <w:rPr>
          <w:rFonts w:cs="Arial"/>
          <w:szCs w:val="24"/>
        </w:rPr>
      </w:pPr>
      <w:r>
        <w:rPr>
          <w:rFonts w:cs="Arial"/>
          <w:szCs w:val="24"/>
        </w:rPr>
        <w:t>2.</w:t>
      </w:r>
      <w:r w:rsidR="00890328">
        <w:rPr>
          <w:rFonts w:cs="Arial"/>
          <w:szCs w:val="24"/>
        </w:rPr>
        <w:t>3</w:t>
      </w:r>
      <w:r>
        <w:rPr>
          <w:rFonts w:cs="Arial"/>
          <w:szCs w:val="24"/>
        </w:rPr>
        <w:tab/>
      </w:r>
      <w:r w:rsidRPr="00DF4A0B">
        <w:rPr>
          <w:rFonts w:cs="Arial"/>
          <w:szCs w:val="24"/>
        </w:rPr>
        <w:t xml:space="preserve">The role profiles for the Divisional Director posts and titles </w:t>
      </w:r>
      <w:r w:rsidR="00B34403">
        <w:rPr>
          <w:rFonts w:cs="Arial"/>
          <w:szCs w:val="24"/>
        </w:rPr>
        <w:t>needed to be</w:t>
      </w:r>
      <w:r w:rsidRPr="00DF4A0B">
        <w:rPr>
          <w:rFonts w:cs="Arial"/>
          <w:szCs w:val="24"/>
        </w:rPr>
        <w:t xml:space="preserve"> reviewed </w:t>
      </w:r>
      <w:r w:rsidR="002C2F73" w:rsidRPr="00DF4A0B">
        <w:rPr>
          <w:rFonts w:cs="Arial"/>
          <w:szCs w:val="24"/>
        </w:rPr>
        <w:t>and updated</w:t>
      </w:r>
      <w:r w:rsidR="002C2F73">
        <w:rPr>
          <w:rFonts w:cs="Arial"/>
          <w:szCs w:val="24"/>
        </w:rPr>
        <w:t>,</w:t>
      </w:r>
      <w:r w:rsidR="002C2F73" w:rsidRPr="00DF4A0B">
        <w:rPr>
          <w:rFonts w:cs="Arial"/>
          <w:szCs w:val="24"/>
        </w:rPr>
        <w:t xml:space="preserve"> </w:t>
      </w:r>
      <w:r w:rsidR="00B11D0E">
        <w:rPr>
          <w:rFonts w:cs="Arial"/>
          <w:szCs w:val="24"/>
        </w:rPr>
        <w:t xml:space="preserve">to reflect </w:t>
      </w:r>
      <w:r w:rsidR="004D437C">
        <w:rPr>
          <w:rFonts w:cs="Arial"/>
          <w:szCs w:val="24"/>
        </w:rPr>
        <w:t>the changes</w:t>
      </w:r>
      <w:r w:rsidR="002C2F73">
        <w:rPr>
          <w:rFonts w:cs="Arial"/>
          <w:szCs w:val="24"/>
        </w:rPr>
        <w:t xml:space="preserve"> that had evolved over time,</w:t>
      </w:r>
      <w:r w:rsidR="00382431">
        <w:rPr>
          <w:rFonts w:cs="Arial"/>
          <w:szCs w:val="24"/>
        </w:rPr>
        <w:t xml:space="preserve"> as outlined in 2.2</w:t>
      </w:r>
      <w:r w:rsidR="00793E48">
        <w:rPr>
          <w:rFonts w:cs="Arial"/>
          <w:szCs w:val="24"/>
        </w:rPr>
        <w:t xml:space="preserve"> above</w:t>
      </w:r>
      <w:r w:rsidR="00382431">
        <w:rPr>
          <w:rFonts w:cs="Arial"/>
          <w:szCs w:val="24"/>
        </w:rPr>
        <w:t>,</w:t>
      </w:r>
      <w:r w:rsidR="004D437C">
        <w:rPr>
          <w:rFonts w:cs="Arial"/>
          <w:szCs w:val="24"/>
        </w:rPr>
        <w:t xml:space="preserve"> and </w:t>
      </w:r>
      <w:r w:rsidRPr="00DF4A0B">
        <w:rPr>
          <w:rFonts w:cs="Arial"/>
          <w:szCs w:val="24"/>
        </w:rPr>
        <w:t xml:space="preserve">to incorporate the current responsibilities. The </w:t>
      </w:r>
      <w:r w:rsidR="002C2F73">
        <w:rPr>
          <w:rFonts w:cs="Arial"/>
          <w:szCs w:val="24"/>
        </w:rPr>
        <w:t>roles</w:t>
      </w:r>
      <w:r w:rsidRPr="00DF4A0B">
        <w:rPr>
          <w:rFonts w:cs="Arial"/>
          <w:szCs w:val="24"/>
        </w:rPr>
        <w:t xml:space="preserve"> </w:t>
      </w:r>
      <w:r>
        <w:rPr>
          <w:rFonts w:cs="Arial"/>
          <w:szCs w:val="24"/>
        </w:rPr>
        <w:t xml:space="preserve">of these posts, </w:t>
      </w:r>
      <w:r w:rsidRPr="00561B78">
        <w:rPr>
          <w:rFonts w:cs="Arial"/>
          <w:szCs w:val="24"/>
        </w:rPr>
        <w:t>Director of Education Services and Director of People Services Strategy and Commissioning</w:t>
      </w:r>
      <w:r>
        <w:rPr>
          <w:rFonts w:cs="Arial"/>
          <w:szCs w:val="24"/>
        </w:rPr>
        <w:t xml:space="preserve"> </w:t>
      </w:r>
      <w:r w:rsidRPr="00DF4A0B">
        <w:rPr>
          <w:rFonts w:cs="Arial"/>
          <w:szCs w:val="24"/>
        </w:rPr>
        <w:t xml:space="preserve">are </w:t>
      </w:r>
      <w:r w:rsidR="00304187">
        <w:rPr>
          <w:rFonts w:cs="Arial"/>
          <w:szCs w:val="24"/>
        </w:rPr>
        <w:t>critical</w:t>
      </w:r>
      <w:r w:rsidRPr="00DF4A0B">
        <w:rPr>
          <w:rFonts w:cs="Arial"/>
          <w:szCs w:val="24"/>
        </w:rPr>
        <w:t xml:space="preserve"> to ensure that there </w:t>
      </w:r>
      <w:r w:rsidR="00F8696C">
        <w:rPr>
          <w:rFonts w:cs="Arial"/>
          <w:szCs w:val="24"/>
        </w:rPr>
        <w:t>are</w:t>
      </w:r>
      <w:r w:rsidRPr="00DF4A0B">
        <w:rPr>
          <w:rFonts w:cs="Arial"/>
          <w:szCs w:val="24"/>
        </w:rPr>
        <w:t xml:space="preserve"> </w:t>
      </w:r>
      <w:r w:rsidR="006B2FCF">
        <w:rPr>
          <w:rFonts w:cs="Arial"/>
          <w:szCs w:val="24"/>
        </w:rPr>
        <w:t xml:space="preserve">clear </w:t>
      </w:r>
      <w:r w:rsidR="00F8696C">
        <w:rPr>
          <w:rFonts w:cs="Arial"/>
          <w:szCs w:val="24"/>
        </w:rPr>
        <w:t xml:space="preserve">lines of </w:t>
      </w:r>
      <w:r w:rsidR="006B2FCF">
        <w:rPr>
          <w:rFonts w:cs="Arial"/>
          <w:szCs w:val="24"/>
        </w:rPr>
        <w:t xml:space="preserve">accountability </w:t>
      </w:r>
      <w:r w:rsidRPr="00DF4A0B">
        <w:rPr>
          <w:rFonts w:cs="Arial"/>
          <w:szCs w:val="24"/>
        </w:rPr>
        <w:t>a</w:t>
      </w:r>
      <w:r w:rsidR="00F8696C">
        <w:rPr>
          <w:rFonts w:cs="Arial"/>
          <w:szCs w:val="24"/>
        </w:rPr>
        <w:t>cross the Directorate</w:t>
      </w:r>
      <w:r w:rsidR="0004625C">
        <w:rPr>
          <w:rFonts w:cs="Arial"/>
          <w:szCs w:val="24"/>
        </w:rPr>
        <w:t>,</w:t>
      </w:r>
      <w:r w:rsidRPr="00DF4A0B">
        <w:rPr>
          <w:rFonts w:cs="Arial"/>
          <w:szCs w:val="24"/>
        </w:rPr>
        <w:t xml:space="preserve"> </w:t>
      </w:r>
      <w:r w:rsidR="00037CC9">
        <w:rPr>
          <w:rFonts w:cs="Arial"/>
          <w:szCs w:val="24"/>
        </w:rPr>
        <w:t xml:space="preserve">and </w:t>
      </w:r>
      <w:r w:rsidRPr="00DF4A0B">
        <w:rPr>
          <w:rFonts w:cs="Arial"/>
          <w:szCs w:val="24"/>
        </w:rPr>
        <w:t xml:space="preserve">clarity </w:t>
      </w:r>
      <w:r w:rsidR="00AF1BA3">
        <w:rPr>
          <w:rFonts w:cs="Arial"/>
          <w:szCs w:val="24"/>
        </w:rPr>
        <w:t xml:space="preserve">about these accountabilities </w:t>
      </w:r>
      <w:r w:rsidRPr="00DF4A0B">
        <w:rPr>
          <w:rFonts w:cs="Arial"/>
          <w:szCs w:val="24"/>
        </w:rPr>
        <w:t xml:space="preserve">for </w:t>
      </w:r>
      <w:r w:rsidR="00AF1BA3">
        <w:rPr>
          <w:rFonts w:cs="Arial"/>
          <w:szCs w:val="24"/>
        </w:rPr>
        <w:t xml:space="preserve">both </w:t>
      </w:r>
      <w:r w:rsidRPr="00DF4A0B">
        <w:rPr>
          <w:rFonts w:cs="Arial"/>
          <w:szCs w:val="24"/>
        </w:rPr>
        <w:t>internal and external stakeholders</w:t>
      </w:r>
      <w:r>
        <w:rPr>
          <w:rFonts w:cs="Arial"/>
          <w:szCs w:val="24"/>
        </w:rPr>
        <w:t>.</w:t>
      </w:r>
      <w:r w:rsidRPr="00DF4A0B">
        <w:rPr>
          <w:rFonts w:cs="Arial"/>
          <w:szCs w:val="24"/>
        </w:rPr>
        <w:t xml:space="preserve"> </w:t>
      </w:r>
    </w:p>
    <w:p w14:paraId="63CF98E7" w14:textId="77777777" w:rsidR="00EB4C1E" w:rsidRPr="00DF4A0B" w:rsidRDefault="00EB4C1E" w:rsidP="00EB4C1E">
      <w:pPr>
        <w:jc w:val="both"/>
        <w:rPr>
          <w:rFonts w:cs="Arial"/>
          <w:szCs w:val="24"/>
        </w:rPr>
      </w:pPr>
    </w:p>
    <w:p w14:paraId="2E29D3E0" w14:textId="3C8B9B8D" w:rsidR="00EB4C1E" w:rsidRPr="00DF4A0B" w:rsidRDefault="00EB4C1E" w:rsidP="00EB4C1E">
      <w:pPr>
        <w:ind w:left="720" w:hanging="720"/>
        <w:jc w:val="both"/>
        <w:rPr>
          <w:rFonts w:cs="Arial"/>
          <w:szCs w:val="24"/>
        </w:rPr>
      </w:pPr>
      <w:bookmarkStart w:id="0" w:name="LastEdit"/>
      <w:bookmarkEnd w:id="0"/>
      <w:r>
        <w:rPr>
          <w:rFonts w:cs="Arial"/>
          <w:szCs w:val="24"/>
        </w:rPr>
        <w:t xml:space="preserve">2. </w:t>
      </w:r>
      <w:r w:rsidR="00890328">
        <w:rPr>
          <w:rFonts w:cs="Arial"/>
          <w:szCs w:val="24"/>
        </w:rPr>
        <w:t>4</w:t>
      </w:r>
      <w:r>
        <w:rPr>
          <w:rFonts w:cs="Arial"/>
          <w:szCs w:val="24"/>
        </w:rPr>
        <w:tab/>
      </w:r>
      <w:r w:rsidRPr="00DF4A0B">
        <w:rPr>
          <w:rFonts w:cs="Arial"/>
          <w:szCs w:val="24"/>
        </w:rPr>
        <w:t xml:space="preserve">The current postholders are fulfilling the roles and responsibilities </w:t>
      </w:r>
      <w:r>
        <w:rPr>
          <w:rFonts w:cs="Arial"/>
          <w:szCs w:val="24"/>
        </w:rPr>
        <w:t>set out at Appendix A</w:t>
      </w:r>
      <w:r w:rsidR="00916EA5">
        <w:rPr>
          <w:rFonts w:cs="Arial"/>
          <w:szCs w:val="24"/>
        </w:rPr>
        <w:t xml:space="preserve">, </w:t>
      </w:r>
      <w:r w:rsidR="0004625C">
        <w:rPr>
          <w:rFonts w:cs="Arial"/>
          <w:szCs w:val="24"/>
        </w:rPr>
        <w:t>a</w:t>
      </w:r>
      <w:r w:rsidR="00916EA5">
        <w:rPr>
          <w:rFonts w:cs="Arial"/>
          <w:szCs w:val="24"/>
        </w:rPr>
        <w:t>nd asked for the roles to be re-evaluated</w:t>
      </w:r>
      <w:r w:rsidR="005A23BA">
        <w:rPr>
          <w:rFonts w:cs="Arial"/>
          <w:szCs w:val="24"/>
        </w:rPr>
        <w:t>.</w:t>
      </w:r>
      <w:r w:rsidR="00917EC5">
        <w:rPr>
          <w:rFonts w:cs="Arial"/>
          <w:szCs w:val="24"/>
        </w:rPr>
        <w:t xml:space="preserve"> </w:t>
      </w:r>
      <w:r w:rsidR="00EE2D81">
        <w:rPr>
          <w:rFonts w:cs="Arial"/>
          <w:szCs w:val="24"/>
        </w:rPr>
        <w:t xml:space="preserve">Both </w:t>
      </w:r>
      <w:r w:rsidR="00EE2D81">
        <w:rPr>
          <w:rFonts w:cs="Arial"/>
          <w:szCs w:val="24"/>
        </w:rPr>
        <w:lastRenderedPageBreak/>
        <w:t>postholders are already in post and will</w:t>
      </w:r>
      <w:r w:rsidR="005A23BA">
        <w:rPr>
          <w:rFonts w:cs="Arial"/>
          <w:szCs w:val="24"/>
        </w:rPr>
        <w:t xml:space="preserve"> </w:t>
      </w:r>
      <w:r w:rsidR="00917EC5">
        <w:rPr>
          <w:rFonts w:cs="Arial"/>
          <w:szCs w:val="24"/>
        </w:rPr>
        <w:t>be assimilated to the new grade of D2</w:t>
      </w:r>
      <w:r w:rsidR="0058131C">
        <w:rPr>
          <w:rFonts w:cs="Arial"/>
          <w:szCs w:val="24"/>
        </w:rPr>
        <w:t>.</w:t>
      </w:r>
    </w:p>
    <w:p w14:paraId="51F944D7" w14:textId="77777777" w:rsidR="00E763E6" w:rsidRPr="00300BB4" w:rsidRDefault="00E763E6" w:rsidP="00E763E6">
      <w:pPr>
        <w:jc w:val="both"/>
        <w:rPr>
          <w:rFonts w:ascii="Gill Sans MT" w:hAnsi="Gill Sans MT" w:cs="Arial"/>
          <w:szCs w:val="24"/>
        </w:rPr>
      </w:pPr>
    </w:p>
    <w:p w14:paraId="62D2D12F" w14:textId="4982334F" w:rsidR="00E763E6" w:rsidRPr="00334EC4" w:rsidRDefault="00E763E6" w:rsidP="00E763E6">
      <w:pPr>
        <w:autoSpaceDE w:val="0"/>
        <w:autoSpaceDN w:val="0"/>
        <w:adjustRightInd w:val="0"/>
        <w:ind w:left="720" w:hanging="720"/>
        <w:rPr>
          <w:rFonts w:cs="Arial"/>
        </w:rPr>
      </w:pPr>
      <w:r w:rsidRPr="00334EC4">
        <w:rPr>
          <w:rFonts w:cs="Arial"/>
        </w:rPr>
        <w:t>2.</w:t>
      </w:r>
      <w:r w:rsidR="00890328">
        <w:rPr>
          <w:rFonts w:cs="Arial"/>
        </w:rPr>
        <w:t>5</w:t>
      </w:r>
      <w:r w:rsidRPr="00334EC4">
        <w:rPr>
          <w:rFonts w:cs="Arial"/>
        </w:rPr>
        <w:tab/>
        <w:t xml:space="preserve">The Chief Officers’ Employment Panel (COEP) </w:t>
      </w:r>
      <w:r w:rsidRPr="00334EC4">
        <w:rPr>
          <w:rFonts w:eastAsia="MS Mincho" w:cs="Arial"/>
          <w:lang w:eastAsia="en-GB"/>
        </w:rPr>
        <w:t>is responsible for approving the remuneration package</w:t>
      </w:r>
      <w:r>
        <w:rPr>
          <w:rFonts w:eastAsia="MS Mincho" w:cs="Arial"/>
          <w:lang w:eastAsia="en-GB"/>
        </w:rPr>
        <w:t>s</w:t>
      </w:r>
      <w:r w:rsidRPr="00334EC4">
        <w:rPr>
          <w:rFonts w:eastAsia="MS Mincho" w:cs="Arial"/>
          <w:lang w:eastAsia="en-GB"/>
        </w:rPr>
        <w:t xml:space="preserve"> </w:t>
      </w:r>
      <w:r>
        <w:rPr>
          <w:rFonts w:eastAsia="MS Mincho" w:cs="Arial"/>
          <w:lang w:eastAsia="en-GB"/>
        </w:rPr>
        <w:t>o</w:t>
      </w:r>
      <w:r w:rsidRPr="00334EC4">
        <w:rPr>
          <w:rFonts w:eastAsia="MS Mincho" w:cs="Arial"/>
          <w:lang w:eastAsia="en-GB"/>
        </w:rPr>
        <w:t xml:space="preserve">f £100,000 or greater </w:t>
      </w:r>
      <w:r>
        <w:rPr>
          <w:rFonts w:eastAsia="MS Mincho" w:cs="Arial"/>
          <w:lang w:eastAsia="en-GB"/>
        </w:rPr>
        <w:t xml:space="preserve">for any Council post </w:t>
      </w:r>
      <w:r w:rsidRPr="00334EC4">
        <w:rPr>
          <w:rFonts w:eastAsia="MS Mincho" w:cs="Arial"/>
          <w:lang w:eastAsia="en-GB"/>
        </w:rPr>
        <w:t xml:space="preserve">and for </w:t>
      </w:r>
      <w:r w:rsidRPr="00334EC4">
        <w:rPr>
          <w:rFonts w:eastAsia="TT3E9Do00" w:cs="Arial"/>
          <w:szCs w:val="24"/>
          <w:lang w:eastAsia="en-GB"/>
        </w:rPr>
        <w:t>reporting back to Council for information purposes on all such approved remuneration packages.</w:t>
      </w:r>
    </w:p>
    <w:p w14:paraId="4CAFD330" w14:textId="77777777" w:rsidR="00E763E6" w:rsidRPr="00334EC4" w:rsidRDefault="00E763E6" w:rsidP="00E763E6">
      <w:pPr>
        <w:rPr>
          <w:rFonts w:cs="Arial"/>
        </w:rPr>
      </w:pPr>
    </w:p>
    <w:p w14:paraId="1045AD7C" w14:textId="77777777" w:rsidR="00E763E6" w:rsidRPr="00334EC4" w:rsidRDefault="00E763E6" w:rsidP="00E763E6">
      <w:pPr>
        <w:rPr>
          <w:rFonts w:cs="Arial"/>
          <w:b/>
        </w:rPr>
      </w:pPr>
      <w:r>
        <w:rPr>
          <w:rFonts w:cs="Arial"/>
          <w:b/>
        </w:rPr>
        <w:t xml:space="preserve">Role Profile </w:t>
      </w:r>
      <w:r w:rsidRPr="00334EC4">
        <w:rPr>
          <w:rFonts w:cs="Arial"/>
          <w:b/>
        </w:rPr>
        <w:t>and Person Specification</w:t>
      </w:r>
    </w:p>
    <w:p w14:paraId="5C1D27BE" w14:textId="77777777" w:rsidR="00E763E6" w:rsidRPr="00334EC4" w:rsidRDefault="00E763E6" w:rsidP="00E763E6">
      <w:pPr>
        <w:rPr>
          <w:rFonts w:cs="Arial"/>
          <w:b/>
        </w:rPr>
      </w:pPr>
    </w:p>
    <w:p w14:paraId="658A789E" w14:textId="736D2C46" w:rsidR="00E763E6" w:rsidRPr="00334EC4" w:rsidRDefault="00E763E6" w:rsidP="002811E2">
      <w:pPr>
        <w:ind w:left="720" w:hanging="720"/>
        <w:jc w:val="both"/>
        <w:rPr>
          <w:rFonts w:cs="Arial"/>
        </w:rPr>
      </w:pPr>
      <w:r w:rsidRPr="00334EC4">
        <w:rPr>
          <w:rFonts w:cs="Arial"/>
        </w:rPr>
        <w:t>2.</w:t>
      </w:r>
      <w:r w:rsidR="00772D28">
        <w:rPr>
          <w:rFonts w:cs="Arial"/>
        </w:rPr>
        <w:t>6</w:t>
      </w:r>
      <w:r w:rsidRPr="00334EC4">
        <w:rPr>
          <w:rFonts w:cs="Arial"/>
        </w:rPr>
        <w:t xml:space="preserve"> </w:t>
      </w:r>
      <w:r w:rsidRPr="00334EC4">
        <w:rPr>
          <w:rFonts w:cs="Arial"/>
        </w:rPr>
        <w:tab/>
        <w:t>Th</w:t>
      </w:r>
      <w:r>
        <w:rPr>
          <w:rFonts w:cs="Arial"/>
        </w:rPr>
        <w:t xml:space="preserve">e new </w:t>
      </w:r>
      <w:r w:rsidR="00890328" w:rsidRPr="00DF4A0B">
        <w:rPr>
          <w:rFonts w:cs="Arial"/>
        </w:rPr>
        <w:t xml:space="preserve">Director of Education and </w:t>
      </w:r>
      <w:r w:rsidR="00890328" w:rsidRPr="00DF4A0B">
        <w:rPr>
          <w:rFonts w:cs="Arial"/>
          <w:szCs w:val="24"/>
        </w:rPr>
        <w:t>Director People Services Strategy and Commissioning</w:t>
      </w:r>
      <w:r w:rsidR="00890328">
        <w:rPr>
          <w:rFonts w:cs="Arial"/>
        </w:rPr>
        <w:t xml:space="preserve"> job description</w:t>
      </w:r>
      <w:r>
        <w:rPr>
          <w:rFonts w:cs="Arial"/>
        </w:rPr>
        <w:t xml:space="preserve"> and person specification are attached at </w:t>
      </w:r>
      <w:r w:rsidRPr="00334EC4">
        <w:rPr>
          <w:rFonts w:cs="Arial"/>
        </w:rPr>
        <w:t>Appendix A</w:t>
      </w:r>
      <w:r>
        <w:rPr>
          <w:rFonts w:cs="Arial"/>
        </w:rPr>
        <w:t xml:space="preserve"> to this report</w:t>
      </w:r>
      <w:r w:rsidRPr="00334EC4">
        <w:rPr>
          <w:rFonts w:cs="Arial"/>
        </w:rPr>
        <w:t>.</w:t>
      </w:r>
    </w:p>
    <w:p w14:paraId="0C422203" w14:textId="77777777" w:rsidR="00E763E6" w:rsidRPr="00334EC4" w:rsidRDefault="00E763E6" w:rsidP="00E763E6">
      <w:pPr>
        <w:rPr>
          <w:rFonts w:cs="Arial"/>
        </w:rPr>
      </w:pPr>
    </w:p>
    <w:p w14:paraId="601F940C" w14:textId="77777777" w:rsidR="00E763E6" w:rsidRPr="00334EC4" w:rsidRDefault="00E763E6" w:rsidP="00E763E6">
      <w:pPr>
        <w:rPr>
          <w:rFonts w:cs="Arial"/>
          <w:b/>
          <w:szCs w:val="24"/>
        </w:rPr>
      </w:pPr>
    </w:p>
    <w:p w14:paraId="367F6AB9" w14:textId="563CA757" w:rsidR="00E763E6" w:rsidRPr="00334EC4" w:rsidRDefault="00E763E6" w:rsidP="00E763E6">
      <w:pPr>
        <w:rPr>
          <w:rFonts w:cs="Arial"/>
          <w:b/>
          <w:szCs w:val="24"/>
        </w:rPr>
      </w:pPr>
      <w:r w:rsidRPr="00334EC4">
        <w:rPr>
          <w:rFonts w:cs="Arial"/>
          <w:b/>
          <w:szCs w:val="24"/>
        </w:rPr>
        <w:t>Harrow Council’s Pay Policy Statement</w:t>
      </w:r>
      <w:r>
        <w:rPr>
          <w:rFonts w:cs="Arial"/>
          <w:b/>
          <w:szCs w:val="24"/>
        </w:rPr>
        <w:t xml:space="preserve"> 20</w:t>
      </w:r>
      <w:r w:rsidR="00890328">
        <w:rPr>
          <w:rFonts w:cs="Arial"/>
          <w:b/>
          <w:szCs w:val="24"/>
        </w:rPr>
        <w:t>20</w:t>
      </w:r>
      <w:r>
        <w:rPr>
          <w:rFonts w:cs="Arial"/>
          <w:b/>
          <w:szCs w:val="24"/>
        </w:rPr>
        <w:t>/202</w:t>
      </w:r>
      <w:r w:rsidR="00890328">
        <w:rPr>
          <w:rFonts w:cs="Arial"/>
          <w:b/>
          <w:szCs w:val="24"/>
        </w:rPr>
        <w:t>1</w:t>
      </w:r>
    </w:p>
    <w:p w14:paraId="512E174B" w14:textId="77777777" w:rsidR="00E763E6" w:rsidRPr="00334EC4" w:rsidRDefault="00E763E6" w:rsidP="00E763E6">
      <w:pPr>
        <w:rPr>
          <w:rFonts w:cs="Arial"/>
          <w:b/>
          <w:szCs w:val="24"/>
        </w:rPr>
      </w:pPr>
    </w:p>
    <w:p w14:paraId="70407B26" w14:textId="7C133D51" w:rsidR="00E763E6" w:rsidRPr="00334EC4" w:rsidRDefault="00E763E6" w:rsidP="00E763E6">
      <w:pPr>
        <w:ind w:left="720" w:hanging="720"/>
        <w:rPr>
          <w:rFonts w:cs="Arial"/>
        </w:rPr>
      </w:pPr>
      <w:r w:rsidRPr="00334EC4">
        <w:rPr>
          <w:rFonts w:cs="Arial"/>
          <w:szCs w:val="24"/>
        </w:rPr>
        <w:t>2.</w:t>
      </w:r>
      <w:r w:rsidR="00772D28">
        <w:rPr>
          <w:rFonts w:cs="Arial"/>
          <w:szCs w:val="24"/>
        </w:rPr>
        <w:t>7</w:t>
      </w:r>
      <w:r>
        <w:rPr>
          <w:rFonts w:cs="Arial"/>
          <w:szCs w:val="24"/>
        </w:rPr>
        <w:tab/>
      </w:r>
      <w:r w:rsidRPr="00334EC4">
        <w:rPr>
          <w:rFonts w:cs="Arial"/>
        </w:rPr>
        <w:t>All employees, including Chief Officers are normally appointed on the lowest pay spine column point for their job evaluated grade.  In exceptional circumstances employees may be appointed at a higher point within the evaluated grade.</w:t>
      </w:r>
    </w:p>
    <w:p w14:paraId="74C15803" w14:textId="77777777" w:rsidR="00E763E6" w:rsidRPr="00334EC4" w:rsidRDefault="00E763E6" w:rsidP="00E763E6">
      <w:pPr>
        <w:rPr>
          <w:rFonts w:cs="Arial"/>
        </w:rPr>
      </w:pPr>
    </w:p>
    <w:p w14:paraId="385A6AFE" w14:textId="529F1729" w:rsidR="00E763E6" w:rsidRPr="00334EC4" w:rsidRDefault="00E763E6" w:rsidP="00E763E6">
      <w:pPr>
        <w:pStyle w:val="Default"/>
      </w:pPr>
      <w:r w:rsidRPr="00334EC4">
        <w:t>2.</w:t>
      </w:r>
      <w:r w:rsidR="00772D28">
        <w:t>8</w:t>
      </w:r>
      <w:r w:rsidRPr="00334EC4">
        <w:t xml:space="preserve">   The Council delegates authority to the Chief Officers’ Employment Panel </w:t>
      </w:r>
    </w:p>
    <w:p w14:paraId="7FC76E82" w14:textId="77777777" w:rsidR="00E763E6" w:rsidRPr="00334EC4" w:rsidRDefault="00E763E6" w:rsidP="00E763E6">
      <w:pPr>
        <w:pStyle w:val="Default"/>
      </w:pPr>
      <w:r w:rsidRPr="00334EC4">
        <w:t xml:space="preserve">          to make recommendations to Council on the appointment of the Head </w:t>
      </w:r>
    </w:p>
    <w:p w14:paraId="20E76212" w14:textId="77777777" w:rsidR="00E763E6" w:rsidRPr="00334EC4" w:rsidRDefault="00E763E6" w:rsidP="00E763E6">
      <w:pPr>
        <w:pStyle w:val="Default"/>
      </w:pPr>
      <w:r w:rsidRPr="00334EC4">
        <w:t xml:space="preserve">          of Paid Service and make appointments of Chief Officers in accordance </w:t>
      </w:r>
    </w:p>
    <w:p w14:paraId="67AA154B" w14:textId="77777777" w:rsidR="00E763E6" w:rsidRPr="00334EC4" w:rsidRDefault="00E763E6" w:rsidP="00E763E6">
      <w:pPr>
        <w:pStyle w:val="Default"/>
      </w:pPr>
      <w:r w:rsidRPr="00334EC4">
        <w:t xml:space="preserve">          with the Council’s Pay Policy.</w:t>
      </w:r>
    </w:p>
    <w:p w14:paraId="30CB6E25" w14:textId="77777777" w:rsidR="00E763E6" w:rsidRPr="00DF4A0B" w:rsidRDefault="00E763E6" w:rsidP="002C6626">
      <w:pPr>
        <w:autoSpaceDE w:val="0"/>
        <w:autoSpaceDN w:val="0"/>
        <w:adjustRightInd w:val="0"/>
        <w:rPr>
          <w:rFonts w:cs="Arial"/>
          <w:szCs w:val="24"/>
        </w:rPr>
      </w:pPr>
    </w:p>
    <w:p w14:paraId="074D5BCF" w14:textId="77777777" w:rsidR="00E763E6" w:rsidRPr="00334EC4" w:rsidRDefault="00E763E6" w:rsidP="00E763E6">
      <w:pPr>
        <w:rPr>
          <w:rFonts w:cs="Arial"/>
          <w:b/>
          <w:szCs w:val="24"/>
        </w:rPr>
      </w:pPr>
      <w:r w:rsidRPr="00334EC4">
        <w:rPr>
          <w:rFonts w:cs="Arial"/>
          <w:b/>
          <w:szCs w:val="24"/>
        </w:rPr>
        <w:t>Grade of Post</w:t>
      </w:r>
    </w:p>
    <w:p w14:paraId="3DC7C9EC" w14:textId="77777777" w:rsidR="00E763E6" w:rsidRPr="00334EC4" w:rsidRDefault="00E763E6" w:rsidP="00E763E6">
      <w:pPr>
        <w:rPr>
          <w:rFonts w:cs="Arial"/>
          <w:szCs w:val="24"/>
        </w:rPr>
      </w:pPr>
    </w:p>
    <w:p w14:paraId="349A45A4" w14:textId="181778BB" w:rsidR="00E763E6" w:rsidRPr="00334EC4" w:rsidRDefault="00E763E6" w:rsidP="00772D28">
      <w:pPr>
        <w:pStyle w:val="Default"/>
        <w:ind w:left="720" w:hanging="720"/>
      </w:pPr>
      <w:r w:rsidRPr="00334EC4">
        <w:t>2.</w:t>
      </w:r>
      <w:r>
        <w:t xml:space="preserve"> </w:t>
      </w:r>
      <w:r w:rsidR="00772D28">
        <w:t>9</w:t>
      </w:r>
      <w:r w:rsidRPr="00334EC4">
        <w:t xml:space="preserve">   </w:t>
      </w:r>
      <w:r w:rsidR="00772D28">
        <w:tab/>
      </w:r>
      <w:r w:rsidRPr="00334EC4">
        <w:t>The</w:t>
      </w:r>
      <w:r>
        <w:t xml:space="preserve"> two Director</w:t>
      </w:r>
      <w:r w:rsidRPr="00334EC4">
        <w:t xml:space="preserve"> post</w:t>
      </w:r>
      <w:r>
        <w:t>s</w:t>
      </w:r>
      <w:r w:rsidRPr="00334EC4">
        <w:t xml:space="preserve"> </w:t>
      </w:r>
      <w:r>
        <w:t>have</w:t>
      </w:r>
      <w:r w:rsidRPr="00334EC4">
        <w:t xml:space="preserve"> been re-evaluated by HR and been graded as D2 - </w:t>
      </w:r>
      <w:r>
        <w:rPr>
          <w:rFonts w:eastAsia="Arial"/>
        </w:rPr>
        <w:t xml:space="preserve">£109,785 </w:t>
      </w:r>
      <w:r w:rsidRPr="00334EC4">
        <w:t xml:space="preserve">- </w:t>
      </w:r>
      <w:r>
        <w:rPr>
          <w:rFonts w:eastAsia="Arial"/>
        </w:rPr>
        <w:t>£123,588</w:t>
      </w:r>
      <w:r w:rsidRPr="00334EC4">
        <w:t>.</w:t>
      </w:r>
      <w:r w:rsidR="00C45E6F">
        <w:t xml:space="preserve"> [</w:t>
      </w:r>
      <w:r w:rsidR="009E5EA4">
        <w:t xml:space="preserve">Both postholders are currently </w:t>
      </w:r>
      <w:r w:rsidR="00A355C0">
        <w:t>rem</w:t>
      </w:r>
      <w:r w:rsidR="00C45E6F">
        <w:t>u</w:t>
      </w:r>
      <w:r w:rsidR="00A355C0">
        <w:t>nerated</w:t>
      </w:r>
      <w:r w:rsidR="009E5EA4">
        <w:t xml:space="preserve"> at SCP</w:t>
      </w:r>
      <w:r w:rsidR="00A355C0">
        <w:t xml:space="preserve"> 5 </w:t>
      </w:r>
      <w:r w:rsidR="00C45E6F">
        <w:t>of D1 -£103.527 due to their length of time in service].</w:t>
      </w:r>
      <w:r w:rsidR="009E5EA4">
        <w:t xml:space="preserve"> </w:t>
      </w:r>
    </w:p>
    <w:p w14:paraId="1D6E756E" w14:textId="77777777" w:rsidR="00E763E6" w:rsidRPr="00334EC4" w:rsidRDefault="00E763E6" w:rsidP="00E763E6">
      <w:pPr>
        <w:pStyle w:val="Default"/>
      </w:pPr>
    </w:p>
    <w:p w14:paraId="319BB010" w14:textId="6E406F16" w:rsidR="00E763E6" w:rsidRDefault="00E763E6" w:rsidP="00E763E6">
      <w:pPr>
        <w:pStyle w:val="Default"/>
      </w:pPr>
      <w:r w:rsidRPr="00334EC4">
        <w:t>2. 1</w:t>
      </w:r>
      <w:r w:rsidR="00772D28">
        <w:t>0</w:t>
      </w:r>
      <w:r w:rsidRPr="00334EC4">
        <w:tab/>
        <w:t>The difference between D1 and D2 grades are as follows:</w:t>
      </w:r>
    </w:p>
    <w:p w14:paraId="3CBE2B02" w14:textId="77777777" w:rsidR="00E763E6" w:rsidRPr="00334EC4" w:rsidRDefault="00E763E6" w:rsidP="00E763E6">
      <w:pPr>
        <w:pStyle w:val="Default"/>
      </w:pPr>
    </w:p>
    <w:tbl>
      <w:tblPr>
        <w:tblStyle w:val="TableGrid"/>
        <w:tblW w:w="9034" w:type="dxa"/>
        <w:tblInd w:w="-12" w:type="dxa"/>
        <w:tblCellMar>
          <w:top w:w="42" w:type="dxa"/>
          <w:left w:w="202" w:type="dxa"/>
          <w:right w:w="67" w:type="dxa"/>
        </w:tblCellMar>
        <w:tblLook w:val="04A0" w:firstRow="1" w:lastRow="0" w:firstColumn="1" w:lastColumn="0" w:noHBand="0" w:noVBand="1"/>
      </w:tblPr>
      <w:tblGrid>
        <w:gridCol w:w="3515"/>
        <w:gridCol w:w="3516"/>
        <w:gridCol w:w="2003"/>
      </w:tblGrid>
      <w:tr w:rsidR="00E763E6" w14:paraId="12313E2A" w14:textId="77777777" w:rsidTr="00073C86">
        <w:trPr>
          <w:trHeight w:val="346"/>
        </w:trPr>
        <w:tc>
          <w:tcPr>
            <w:tcW w:w="3515" w:type="dxa"/>
            <w:tcBorders>
              <w:top w:val="single" w:sz="8" w:space="0" w:color="000000"/>
              <w:left w:val="single" w:sz="8" w:space="0" w:color="000000"/>
              <w:bottom w:val="single" w:sz="8" w:space="0" w:color="000000"/>
              <w:right w:val="single" w:sz="8" w:space="0" w:color="000000"/>
            </w:tcBorders>
            <w:shd w:val="clear" w:color="auto" w:fill="8DB3E2"/>
          </w:tcPr>
          <w:p w14:paraId="6684B35B" w14:textId="77777777" w:rsidR="00E763E6" w:rsidRDefault="00E763E6" w:rsidP="00073C86">
            <w:pPr>
              <w:ind w:right="138"/>
              <w:jc w:val="center"/>
            </w:pPr>
            <w:r>
              <w:rPr>
                <w:rFonts w:eastAsia="Arial" w:cs="Arial"/>
              </w:rPr>
              <w:t xml:space="preserve">Grade </w:t>
            </w:r>
          </w:p>
        </w:tc>
        <w:tc>
          <w:tcPr>
            <w:tcW w:w="3516" w:type="dxa"/>
            <w:tcBorders>
              <w:top w:val="single" w:sz="8" w:space="0" w:color="000000"/>
              <w:left w:val="single" w:sz="8" w:space="0" w:color="000000"/>
              <w:bottom w:val="single" w:sz="8" w:space="0" w:color="000000"/>
              <w:right w:val="single" w:sz="8" w:space="0" w:color="000000"/>
            </w:tcBorders>
            <w:shd w:val="clear" w:color="auto" w:fill="8DB3E2"/>
          </w:tcPr>
          <w:p w14:paraId="0BE19CC7" w14:textId="77777777" w:rsidR="00E763E6" w:rsidRDefault="00E763E6" w:rsidP="00073C86">
            <w:pPr>
              <w:ind w:right="130"/>
              <w:jc w:val="center"/>
            </w:pPr>
            <w:r>
              <w:rPr>
                <w:rFonts w:eastAsia="Arial" w:cs="Arial"/>
              </w:rPr>
              <w:t xml:space="preserve">SCP </w:t>
            </w:r>
          </w:p>
        </w:tc>
        <w:tc>
          <w:tcPr>
            <w:tcW w:w="2003" w:type="dxa"/>
            <w:tcBorders>
              <w:top w:val="single" w:sz="8" w:space="0" w:color="000000"/>
              <w:left w:val="single" w:sz="8" w:space="0" w:color="000000"/>
              <w:bottom w:val="single" w:sz="8" w:space="0" w:color="000000"/>
              <w:right w:val="single" w:sz="8" w:space="0" w:color="000000"/>
            </w:tcBorders>
            <w:shd w:val="clear" w:color="auto" w:fill="8DB3E2"/>
          </w:tcPr>
          <w:p w14:paraId="6948354A" w14:textId="77777777" w:rsidR="00E763E6" w:rsidRDefault="00E763E6" w:rsidP="00073C86">
            <w:r>
              <w:rPr>
                <w:rFonts w:eastAsia="Arial" w:cs="Arial"/>
              </w:rPr>
              <w:t xml:space="preserve">Annual Salary  </w:t>
            </w:r>
          </w:p>
        </w:tc>
      </w:tr>
      <w:tr w:rsidR="00E763E6" w14:paraId="7D6AFCFC" w14:textId="77777777" w:rsidTr="00073C86">
        <w:trPr>
          <w:trHeight w:val="350"/>
        </w:trPr>
        <w:tc>
          <w:tcPr>
            <w:tcW w:w="3515" w:type="dxa"/>
            <w:vMerge w:val="restart"/>
            <w:tcBorders>
              <w:top w:val="single" w:sz="8" w:space="0" w:color="000000"/>
              <w:left w:val="single" w:sz="8" w:space="0" w:color="000000"/>
              <w:bottom w:val="single" w:sz="8" w:space="0" w:color="000000"/>
              <w:right w:val="single" w:sz="8" w:space="0" w:color="000000"/>
            </w:tcBorders>
            <w:vAlign w:val="center"/>
          </w:tcPr>
          <w:p w14:paraId="062A826A" w14:textId="77777777" w:rsidR="00E763E6" w:rsidRDefault="00E763E6" w:rsidP="00073C86">
            <w:pPr>
              <w:ind w:right="138"/>
              <w:jc w:val="center"/>
            </w:pPr>
            <w:r>
              <w:rPr>
                <w:rFonts w:eastAsia="Arial" w:cs="Arial"/>
              </w:rPr>
              <w:t xml:space="preserve">D1 </w:t>
            </w:r>
          </w:p>
        </w:tc>
        <w:tc>
          <w:tcPr>
            <w:tcW w:w="3516" w:type="dxa"/>
            <w:tcBorders>
              <w:top w:val="single" w:sz="8" w:space="0" w:color="000000"/>
              <w:left w:val="single" w:sz="8" w:space="0" w:color="000000"/>
              <w:bottom w:val="single" w:sz="8" w:space="0" w:color="000000"/>
              <w:right w:val="single" w:sz="8" w:space="0" w:color="000000"/>
            </w:tcBorders>
          </w:tcPr>
          <w:p w14:paraId="27D9D5FB" w14:textId="77777777" w:rsidR="00E763E6" w:rsidRDefault="00E763E6" w:rsidP="00073C86">
            <w:pPr>
              <w:ind w:right="130"/>
              <w:jc w:val="center"/>
            </w:pPr>
            <w:r>
              <w:rPr>
                <w:rFonts w:eastAsia="Arial" w:cs="Arial"/>
              </w:rPr>
              <w:t xml:space="preserve">1 </w:t>
            </w:r>
          </w:p>
        </w:tc>
        <w:tc>
          <w:tcPr>
            <w:tcW w:w="2003" w:type="dxa"/>
            <w:tcBorders>
              <w:top w:val="single" w:sz="8" w:space="0" w:color="000000"/>
              <w:left w:val="single" w:sz="8" w:space="0" w:color="000000"/>
              <w:bottom w:val="single" w:sz="8" w:space="0" w:color="000000"/>
              <w:right w:val="single" w:sz="8" w:space="0" w:color="000000"/>
            </w:tcBorders>
          </w:tcPr>
          <w:p w14:paraId="6AF2BDDF" w14:textId="77777777" w:rsidR="00E763E6" w:rsidRDefault="00E763E6" w:rsidP="00073C86">
            <w:pPr>
              <w:ind w:right="131"/>
              <w:jc w:val="center"/>
            </w:pPr>
            <w:r>
              <w:rPr>
                <w:rFonts w:eastAsia="Arial" w:cs="Arial"/>
              </w:rPr>
              <w:t xml:space="preserve">£87,807 </w:t>
            </w:r>
          </w:p>
        </w:tc>
      </w:tr>
      <w:tr w:rsidR="00E763E6" w14:paraId="4F0FDE4E" w14:textId="77777777" w:rsidTr="00073C86">
        <w:trPr>
          <w:trHeight w:val="350"/>
        </w:trPr>
        <w:tc>
          <w:tcPr>
            <w:tcW w:w="0" w:type="auto"/>
            <w:vMerge/>
            <w:tcBorders>
              <w:top w:val="nil"/>
              <w:left w:val="single" w:sz="8" w:space="0" w:color="000000"/>
              <w:bottom w:val="nil"/>
              <w:right w:val="single" w:sz="8" w:space="0" w:color="000000"/>
            </w:tcBorders>
          </w:tcPr>
          <w:p w14:paraId="0C783BD2"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7B9BACE5" w14:textId="77777777" w:rsidR="00E763E6" w:rsidRDefault="00E763E6" w:rsidP="00073C86">
            <w:pPr>
              <w:ind w:right="130"/>
              <w:jc w:val="center"/>
            </w:pPr>
            <w:r>
              <w:rPr>
                <w:rFonts w:eastAsia="Arial" w:cs="Arial"/>
              </w:rPr>
              <w:t xml:space="preserve">2 </w:t>
            </w:r>
          </w:p>
        </w:tc>
        <w:tc>
          <w:tcPr>
            <w:tcW w:w="2003" w:type="dxa"/>
            <w:tcBorders>
              <w:top w:val="single" w:sz="8" w:space="0" w:color="000000"/>
              <w:left w:val="single" w:sz="8" w:space="0" w:color="000000"/>
              <w:bottom w:val="single" w:sz="8" w:space="0" w:color="000000"/>
              <w:right w:val="single" w:sz="8" w:space="0" w:color="000000"/>
            </w:tcBorders>
          </w:tcPr>
          <w:p w14:paraId="1E44C395" w14:textId="77777777" w:rsidR="00E763E6" w:rsidRDefault="00E763E6" w:rsidP="00073C86">
            <w:pPr>
              <w:ind w:right="131"/>
              <w:jc w:val="center"/>
            </w:pPr>
            <w:r>
              <w:rPr>
                <w:rFonts w:eastAsia="Arial" w:cs="Arial"/>
              </w:rPr>
              <w:t xml:space="preserve">£91,707 </w:t>
            </w:r>
          </w:p>
        </w:tc>
      </w:tr>
      <w:tr w:rsidR="00E763E6" w14:paraId="1D360AC4" w14:textId="77777777" w:rsidTr="00073C86">
        <w:trPr>
          <w:trHeight w:val="350"/>
        </w:trPr>
        <w:tc>
          <w:tcPr>
            <w:tcW w:w="0" w:type="auto"/>
            <w:vMerge/>
            <w:tcBorders>
              <w:top w:val="nil"/>
              <w:left w:val="single" w:sz="8" w:space="0" w:color="000000"/>
              <w:bottom w:val="nil"/>
              <w:right w:val="single" w:sz="8" w:space="0" w:color="000000"/>
            </w:tcBorders>
          </w:tcPr>
          <w:p w14:paraId="2ED03280"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042E1C04" w14:textId="77777777" w:rsidR="00E763E6" w:rsidRDefault="00E763E6" w:rsidP="00073C86">
            <w:pPr>
              <w:ind w:right="130"/>
              <w:jc w:val="center"/>
            </w:pPr>
            <w:r>
              <w:rPr>
                <w:rFonts w:eastAsia="Arial" w:cs="Arial"/>
              </w:rPr>
              <w:t xml:space="preserve">3 </w:t>
            </w:r>
          </w:p>
        </w:tc>
        <w:tc>
          <w:tcPr>
            <w:tcW w:w="2003" w:type="dxa"/>
            <w:tcBorders>
              <w:top w:val="single" w:sz="8" w:space="0" w:color="000000"/>
              <w:left w:val="single" w:sz="8" w:space="0" w:color="000000"/>
              <w:bottom w:val="single" w:sz="8" w:space="0" w:color="000000"/>
              <w:right w:val="single" w:sz="8" w:space="0" w:color="000000"/>
            </w:tcBorders>
          </w:tcPr>
          <w:p w14:paraId="77F56BD0" w14:textId="77777777" w:rsidR="00E763E6" w:rsidRDefault="00E763E6" w:rsidP="00073C86">
            <w:pPr>
              <w:ind w:right="131"/>
              <w:jc w:val="center"/>
            </w:pPr>
            <w:r>
              <w:rPr>
                <w:rFonts w:eastAsia="Arial" w:cs="Arial"/>
              </w:rPr>
              <w:t xml:space="preserve">£94,821 </w:t>
            </w:r>
          </w:p>
        </w:tc>
      </w:tr>
      <w:tr w:rsidR="00E763E6" w14:paraId="559444EA" w14:textId="77777777" w:rsidTr="00073C86">
        <w:trPr>
          <w:trHeight w:val="350"/>
        </w:trPr>
        <w:tc>
          <w:tcPr>
            <w:tcW w:w="0" w:type="auto"/>
            <w:vMerge/>
            <w:tcBorders>
              <w:top w:val="nil"/>
              <w:left w:val="single" w:sz="8" w:space="0" w:color="000000"/>
              <w:bottom w:val="nil"/>
              <w:right w:val="single" w:sz="8" w:space="0" w:color="000000"/>
            </w:tcBorders>
          </w:tcPr>
          <w:p w14:paraId="3D47D2F3"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077494A4" w14:textId="77777777" w:rsidR="00E763E6" w:rsidRDefault="00E763E6" w:rsidP="00073C86">
            <w:pPr>
              <w:ind w:right="130"/>
              <w:jc w:val="center"/>
            </w:pPr>
            <w:r>
              <w:rPr>
                <w:rFonts w:eastAsia="Arial" w:cs="Arial"/>
              </w:rPr>
              <w:t xml:space="preserve">4 </w:t>
            </w:r>
          </w:p>
        </w:tc>
        <w:tc>
          <w:tcPr>
            <w:tcW w:w="2003" w:type="dxa"/>
            <w:tcBorders>
              <w:top w:val="single" w:sz="8" w:space="0" w:color="000000"/>
              <w:left w:val="single" w:sz="8" w:space="0" w:color="000000"/>
              <w:bottom w:val="single" w:sz="8" w:space="0" w:color="000000"/>
              <w:right w:val="single" w:sz="8" w:space="0" w:color="000000"/>
            </w:tcBorders>
          </w:tcPr>
          <w:p w14:paraId="1E76FB52" w14:textId="77777777" w:rsidR="00E763E6" w:rsidRDefault="00E763E6" w:rsidP="00073C86">
            <w:pPr>
              <w:ind w:right="131"/>
              <w:jc w:val="center"/>
            </w:pPr>
            <w:r>
              <w:rPr>
                <w:rFonts w:eastAsia="Arial" w:cs="Arial"/>
              </w:rPr>
              <w:t xml:space="preserve">£98,379 </w:t>
            </w:r>
          </w:p>
        </w:tc>
      </w:tr>
      <w:tr w:rsidR="00E763E6" w14:paraId="2B5096B1" w14:textId="77777777" w:rsidTr="00073C86">
        <w:trPr>
          <w:trHeight w:val="350"/>
        </w:trPr>
        <w:tc>
          <w:tcPr>
            <w:tcW w:w="0" w:type="auto"/>
            <w:vMerge/>
            <w:tcBorders>
              <w:top w:val="nil"/>
              <w:left w:val="single" w:sz="8" w:space="0" w:color="000000"/>
              <w:bottom w:val="single" w:sz="8" w:space="0" w:color="000000"/>
              <w:right w:val="single" w:sz="8" w:space="0" w:color="000000"/>
            </w:tcBorders>
          </w:tcPr>
          <w:p w14:paraId="3424B3D4"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7F13984A" w14:textId="77777777" w:rsidR="00E763E6" w:rsidRDefault="00E763E6" w:rsidP="00073C86">
            <w:pPr>
              <w:ind w:right="130"/>
              <w:jc w:val="center"/>
            </w:pPr>
            <w:r>
              <w:rPr>
                <w:rFonts w:eastAsia="Arial" w:cs="Arial"/>
              </w:rPr>
              <w:t xml:space="preserve">5 </w:t>
            </w:r>
          </w:p>
        </w:tc>
        <w:tc>
          <w:tcPr>
            <w:tcW w:w="2003" w:type="dxa"/>
            <w:tcBorders>
              <w:top w:val="single" w:sz="8" w:space="0" w:color="000000"/>
              <w:left w:val="single" w:sz="8" w:space="0" w:color="000000"/>
              <w:bottom w:val="single" w:sz="8" w:space="0" w:color="000000"/>
              <w:right w:val="single" w:sz="8" w:space="0" w:color="000000"/>
            </w:tcBorders>
          </w:tcPr>
          <w:p w14:paraId="2DC64BA4" w14:textId="77777777" w:rsidR="00E763E6" w:rsidRDefault="00E763E6" w:rsidP="00073C86">
            <w:pPr>
              <w:ind w:right="133"/>
              <w:jc w:val="center"/>
            </w:pPr>
            <w:r>
              <w:rPr>
                <w:rFonts w:eastAsia="Arial" w:cs="Arial"/>
              </w:rPr>
              <w:t xml:space="preserve">£103,527 </w:t>
            </w:r>
          </w:p>
        </w:tc>
      </w:tr>
    </w:tbl>
    <w:p w14:paraId="3B3C260C" w14:textId="77777777" w:rsidR="00E763E6" w:rsidRDefault="00E763E6" w:rsidP="00E763E6">
      <w:pPr>
        <w:pStyle w:val="Default"/>
        <w:rPr>
          <w:lang w:val="en-GB" w:eastAsia="en-GB"/>
        </w:rPr>
      </w:pPr>
    </w:p>
    <w:p w14:paraId="0D8C5D33" w14:textId="4F00324F" w:rsidR="00E763E6" w:rsidRDefault="00E763E6" w:rsidP="00E763E6"/>
    <w:p w14:paraId="5596D165" w14:textId="15EC0196" w:rsidR="00BB663C" w:rsidRDefault="00BB663C" w:rsidP="00E763E6"/>
    <w:p w14:paraId="1A058E91" w14:textId="623B178E" w:rsidR="00BB663C" w:rsidRDefault="00BB663C" w:rsidP="00E763E6"/>
    <w:p w14:paraId="10039C59" w14:textId="7591BC2C" w:rsidR="00BB663C" w:rsidRDefault="00BB663C" w:rsidP="00E763E6"/>
    <w:p w14:paraId="72ECECE0" w14:textId="06484830" w:rsidR="00BB663C" w:rsidRDefault="00BB663C" w:rsidP="00E763E6"/>
    <w:p w14:paraId="1E0601D4" w14:textId="77777777" w:rsidR="00BB663C" w:rsidRDefault="00BB663C" w:rsidP="00E763E6"/>
    <w:tbl>
      <w:tblPr>
        <w:tblStyle w:val="TableGrid"/>
        <w:tblW w:w="9034" w:type="dxa"/>
        <w:tblInd w:w="-12" w:type="dxa"/>
        <w:tblCellMar>
          <w:top w:w="42" w:type="dxa"/>
          <w:left w:w="202" w:type="dxa"/>
          <w:right w:w="67" w:type="dxa"/>
        </w:tblCellMar>
        <w:tblLook w:val="04A0" w:firstRow="1" w:lastRow="0" w:firstColumn="1" w:lastColumn="0" w:noHBand="0" w:noVBand="1"/>
      </w:tblPr>
      <w:tblGrid>
        <w:gridCol w:w="3515"/>
        <w:gridCol w:w="3516"/>
        <w:gridCol w:w="2003"/>
      </w:tblGrid>
      <w:tr w:rsidR="00E763E6" w14:paraId="27BD6B0E" w14:textId="77777777" w:rsidTr="00073C86">
        <w:trPr>
          <w:trHeight w:val="344"/>
        </w:trPr>
        <w:tc>
          <w:tcPr>
            <w:tcW w:w="3515" w:type="dxa"/>
            <w:tcBorders>
              <w:top w:val="single" w:sz="8" w:space="0" w:color="000000"/>
              <w:left w:val="single" w:sz="8" w:space="0" w:color="000000"/>
              <w:bottom w:val="single" w:sz="8" w:space="0" w:color="000000"/>
              <w:right w:val="single" w:sz="8" w:space="0" w:color="000000"/>
            </w:tcBorders>
            <w:shd w:val="clear" w:color="auto" w:fill="8DB3E2"/>
          </w:tcPr>
          <w:p w14:paraId="5CE021E7" w14:textId="77777777" w:rsidR="00E763E6" w:rsidRDefault="00E763E6" w:rsidP="00073C86">
            <w:pPr>
              <w:ind w:right="138"/>
              <w:jc w:val="center"/>
            </w:pPr>
            <w:r>
              <w:rPr>
                <w:rFonts w:eastAsia="Arial" w:cs="Arial"/>
              </w:rPr>
              <w:lastRenderedPageBreak/>
              <w:t xml:space="preserve">Grade </w:t>
            </w:r>
          </w:p>
        </w:tc>
        <w:tc>
          <w:tcPr>
            <w:tcW w:w="3516" w:type="dxa"/>
            <w:tcBorders>
              <w:top w:val="single" w:sz="8" w:space="0" w:color="000000"/>
              <w:left w:val="single" w:sz="8" w:space="0" w:color="000000"/>
              <w:bottom w:val="single" w:sz="8" w:space="0" w:color="000000"/>
              <w:right w:val="single" w:sz="8" w:space="0" w:color="000000"/>
            </w:tcBorders>
            <w:shd w:val="clear" w:color="auto" w:fill="8DB3E2"/>
          </w:tcPr>
          <w:p w14:paraId="1D81737C" w14:textId="77777777" w:rsidR="00E763E6" w:rsidRDefault="00E763E6" w:rsidP="00073C86">
            <w:pPr>
              <w:ind w:right="130"/>
              <w:jc w:val="center"/>
            </w:pPr>
            <w:r>
              <w:rPr>
                <w:rFonts w:eastAsia="Arial" w:cs="Arial"/>
              </w:rPr>
              <w:t xml:space="preserve">SCP </w:t>
            </w:r>
          </w:p>
        </w:tc>
        <w:tc>
          <w:tcPr>
            <w:tcW w:w="2003" w:type="dxa"/>
            <w:tcBorders>
              <w:top w:val="single" w:sz="8" w:space="0" w:color="000000"/>
              <w:left w:val="single" w:sz="8" w:space="0" w:color="000000"/>
              <w:bottom w:val="single" w:sz="8" w:space="0" w:color="000000"/>
              <w:right w:val="single" w:sz="8" w:space="0" w:color="000000"/>
            </w:tcBorders>
            <w:shd w:val="clear" w:color="auto" w:fill="8DB3E2"/>
          </w:tcPr>
          <w:p w14:paraId="0A382A5A" w14:textId="77777777" w:rsidR="00E763E6" w:rsidRDefault="00E763E6" w:rsidP="00073C86">
            <w:r>
              <w:rPr>
                <w:rFonts w:eastAsia="Arial" w:cs="Arial"/>
              </w:rPr>
              <w:t xml:space="preserve">Annual Salary  </w:t>
            </w:r>
          </w:p>
        </w:tc>
      </w:tr>
      <w:tr w:rsidR="00E763E6" w14:paraId="50BE4C90" w14:textId="77777777" w:rsidTr="00073C86">
        <w:trPr>
          <w:trHeight w:val="353"/>
        </w:trPr>
        <w:tc>
          <w:tcPr>
            <w:tcW w:w="3515" w:type="dxa"/>
            <w:vMerge w:val="restart"/>
            <w:tcBorders>
              <w:top w:val="single" w:sz="8" w:space="0" w:color="000000"/>
              <w:left w:val="single" w:sz="8" w:space="0" w:color="000000"/>
              <w:bottom w:val="single" w:sz="8" w:space="0" w:color="000000"/>
              <w:right w:val="single" w:sz="8" w:space="0" w:color="000000"/>
            </w:tcBorders>
            <w:vAlign w:val="center"/>
          </w:tcPr>
          <w:p w14:paraId="28C0BFF2" w14:textId="77777777" w:rsidR="00E763E6" w:rsidRDefault="00E763E6" w:rsidP="00073C86">
            <w:pPr>
              <w:ind w:right="138"/>
              <w:jc w:val="center"/>
            </w:pPr>
            <w:r>
              <w:rPr>
                <w:rFonts w:eastAsia="Arial" w:cs="Arial"/>
              </w:rPr>
              <w:t xml:space="preserve">D2 </w:t>
            </w:r>
          </w:p>
        </w:tc>
        <w:tc>
          <w:tcPr>
            <w:tcW w:w="3516" w:type="dxa"/>
            <w:tcBorders>
              <w:top w:val="single" w:sz="8" w:space="0" w:color="000000"/>
              <w:left w:val="single" w:sz="8" w:space="0" w:color="000000"/>
              <w:bottom w:val="single" w:sz="8" w:space="0" w:color="000000"/>
              <w:right w:val="single" w:sz="8" w:space="0" w:color="000000"/>
            </w:tcBorders>
          </w:tcPr>
          <w:p w14:paraId="059061D0" w14:textId="77777777" w:rsidR="00E763E6" w:rsidRDefault="00E763E6" w:rsidP="00073C86">
            <w:pPr>
              <w:ind w:right="130"/>
              <w:jc w:val="center"/>
            </w:pPr>
            <w:r>
              <w:rPr>
                <w:rFonts w:eastAsia="Arial" w:cs="Arial"/>
              </w:rPr>
              <w:t xml:space="preserve">1 </w:t>
            </w:r>
          </w:p>
        </w:tc>
        <w:tc>
          <w:tcPr>
            <w:tcW w:w="2003" w:type="dxa"/>
            <w:tcBorders>
              <w:top w:val="single" w:sz="8" w:space="0" w:color="000000"/>
              <w:left w:val="single" w:sz="8" w:space="0" w:color="000000"/>
              <w:bottom w:val="single" w:sz="8" w:space="0" w:color="000000"/>
              <w:right w:val="single" w:sz="8" w:space="0" w:color="000000"/>
            </w:tcBorders>
          </w:tcPr>
          <w:p w14:paraId="0F051333" w14:textId="77777777" w:rsidR="00E763E6" w:rsidRDefault="00E763E6" w:rsidP="00073C86">
            <w:pPr>
              <w:ind w:right="133"/>
              <w:jc w:val="center"/>
            </w:pPr>
            <w:r>
              <w:rPr>
                <w:rFonts w:eastAsia="Arial" w:cs="Arial"/>
              </w:rPr>
              <w:t xml:space="preserve">£109,785 </w:t>
            </w:r>
          </w:p>
        </w:tc>
      </w:tr>
      <w:tr w:rsidR="00E763E6" w14:paraId="3F576B4E" w14:textId="77777777" w:rsidTr="00073C86">
        <w:trPr>
          <w:trHeight w:val="350"/>
        </w:trPr>
        <w:tc>
          <w:tcPr>
            <w:tcW w:w="0" w:type="auto"/>
            <w:vMerge/>
            <w:tcBorders>
              <w:top w:val="nil"/>
              <w:left w:val="single" w:sz="8" w:space="0" w:color="000000"/>
              <w:bottom w:val="nil"/>
              <w:right w:val="single" w:sz="8" w:space="0" w:color="000000"/>
            </w:tcBorders>
          </w:tcPr>
          <w:p w14:paraId="2F8C23A1"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2E3F9FDF" w14:textId="77777777" w:rsidR="00E763E6" w:rsidRDefault="00E763E6" w:rsidP="00073C86">
            <w:pPr>
              <w:ind w:right="130"/>
              <w:jc w:val="center"/>
            </w:pPr>
            <w:r>
              <w:rPr>
                <w:rFonts w:eastAsia="Arial" w:cs="Arial"/>
              </w:rPr>
              <w:t xml:space="preserve">2 </w:t>
            </w:r>
          </w:p>
        </w:tc>
        <w:tc>
          <w:tcPr>
            <w:tcW w:w="2003" w:type="dxa"/>
            <w:tcBorders>
              <w:top w:val="single" w:sz="8" w:space="0" w:color="000000"/>
              <w:left w:val="single" w:sz="8" w:space="0" w:color="000000"/>
              <w:bottom w:val="single" w:sz="8" w:space="0" w:color="000000"/>
              <w:right w:val="single" w:sz="8" w:space="0" w:color="000000"/>
            </w:tcBorders>
          </w:tcPr>
          <w:p w14:paraId="59E4F352" w14:textId="77777777" w:rsidR="00E763E6" w:rsidRDefault="00E763E6" w:rsidP="00073C86">
            <w:pPr>
              <w:ind w:right="133"/>
              <w:jc w:val="center"/>
            </w:pPr>
            <w:r>
              <w:rPr>
                <w:rFonts w:eastAsia="Arial" w:cs="Arial"/>
              </w:rPr>
              <w:t xml:space="preserve">£113,118 </w:t>
            </w:r>
          </w:p>
        </w:tc>
      </w:tr>
      <w:tr w:rsidR="00E763E6" w14:paraId="7AE0B575" w14:textId="77777777" w:rsidTr="00073C86">
        <w:trPr>
          <w:trHeight w:val="350"/>
        </w:trPr>
        <w:tc>
          <w:tcPr>
            <w:tcW w:w="0" w:type="auto"/>
            <w:vMerge/>
            <w:tcBorders>
              <w:top w:val="nil"/>
              <w:left w:val="single" w:sz="8" w:space="0" w:color="000000"/>
              <w:bottom w:val="nil"/>
              <w:right w:val="single" w:sz="8" w:space="0" w:color="000000"/>
            </w:tcBorders>
          </w:tcPr>
          <w:p w14:paraId="17BC5300"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2EC8DB4D" w14:textId="77777777" w:rsidR="00E763E6" w:rsidRDefault="00E763E6" w:rsidP="00073C86">
            <w:pPr>
              <w:ind w:right="130"/>
              <w:jc w:val="center"/>
            </w:pPr>
            <w:r>
              <w:rPr>
                <w:rFonts w:eastAsia="Arial" w:cs="Arial"/>
              </w:rPr>
              <w:t xml:space="preserve">3 </w:t>
            </w:r>
          </w:p>
        </w:tc>
        <w:tc>
          <w:tcPr>
            <w:tcW w:w="2003" w:type="dxa"/>
            <w:tcBorders>
              <w:top w:val="single" w:sz="8" w:space="0" w:color="000000"/>
              <w:left w:val="single" w:sz="8" w:space="0" w:color="000000"/>
              <w:bottom w:val="single" w:sz="8" w:space="0" w:color="000000"/>
              <w:right w:val="single" w:sz="8" w:space="0" w:color="000000"/>
            </w:tcBorders>
          </w:tcPr>
          <w:p w14:paraId="6A91EA91" w14:textId="77777777" w:rsidR="00E763E6" w:rsidRDefault="00E763E6" w:rsidP="00073C86">
            <w:pPr>
              <w:ind w:right="133"/>
              <w:jc w:val="center"/>
            </w:pPr>
            <w:r>
              <w:rPr>
                <w:rFonts w:eastAsia="Arial" w:cs="Arial"/>
              </w:rPr>
              <w:t xml:space="preserve">£116,478 </w:t>
            </w:r>
          </w:p>
        </w:tc>
      </w:tr>
      <w:tr w:rsidR="00E763E6" w14:paraId="608029BF" w14:textId="77777777" w:rsidTr="00073C86">
        <w:trPr>
          <w:trHeight w:val="350"/>
        </w:trPr>
        <w:tc>
          <w:tcPr>
            <w:tcW w:w="0" w:type="auto"/>
            <w:vMerge/>
            <w:tcBorders>
              <w:top w:val="nil"/>
              <w:left w:val="single" w:sz="8" w:space="0" w:color="000000"/>
              <w:bottom w:val="nil"/>
              <w:right w:val="single" w:sz="8" w:space="0" w:color="000000"/>
            </w:tcBorders>
          </w:tcPr>
          <w:p w14:paraId="199E4237"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675F036E" w14:textId="77777777" w:rsidR="00E763E6" w:rsidRDefault="00E763E6" w:rsidP="00073C86">
            <w:pPr>
              <w:ind w:right="130"/>
              <w:jc w:val="center"/>
            </w:pPr>
            <w:r>
              <w:rPr>
                <w:rFonts w:eastAsia="Arial" w:cs="Arial"/>
              </w:rPr>
              <w:t xml:space="preserve">4 </w:t>
            </w:r>
          </w:p>
        </w:tc>
        <w:tc>
          <w:tcPr>
            <w:tcW w:w="2003" w:type="dxa"/>
            <w:tcBorders>
              <w:top w:val="single" w:sz="8" w:space="0" w:color="000000"/>
              <w:left w:val="single" w:sz="8" w:space="0" w:color="000000"/>
              <w:bottom w:val="single" w:sz="8" w:space="0" w:color="000000"/>
              <w:right w:val="single" w:sz="8" w:space="0" w:color="000000"/>
            </w:tcBorders>
          </w:tcPr>
          <w:p w14:paraId="43138FCB" w14:textId="77777777" w:rsidR="00E763E6" w:rsidRDefault="00E763E6" w:rsidP="00073C86">
            <w:pPr>
              <w:ind w:right="133"/>
              <w:jc w:val="center"/>
            </w:pPr>
            <w:r>
              <w:rPr>
                <w:rFonts w:eastAsia="Arial" w:cs="Arial"/>
              </w:rPr>
              <w:t xml:space="preserve">£119,976 </w:t>
            </w:r>
          </w:p>
        </w:tc>
      </w:tr>
      <w:tr w:rsidR="00E763E6" w14:paraId="4D204819" w14:textId="77777777" w:rsidTr="00073C86">
        <w:trPr>
          <w:trHeight w:val="350"/>
        </w:trPr>
        <w:tc>
          <w:tcPr>
            <w:tcW w:w="0" w:type="auto"/>
            <w:vMerge/>
            <w:tcBorders>
              <w:top w:val="nil"/>
              <w:left w:val="single" w:sz="8" w:space="0" w:color="000000"/>
              <w:bottom w:val="single" w:sz="8" w:space="0" w:color="000000"/>
              <w:right w:val="single" w:sz="8" w:space="0" w:color="000000"/>
            </w:tcBorders>
          </w:tcPr>
          <w:p w14:paraId="2FCE7DC6" w14:textId="77777777" w:rsidR="00E763E6" w:rsidRDefault="00E763E6" w:rsidP="00073C86">
            <w:pPr>
              <w:spacing w:after="160"/>
            </w:pPr>
          </w:p>
        </w:tc>
        <w:tc>
          <w:tcPr>
            <w:tcW w:w="3516" w:type="dxa"/>
            <w:tcBorders>
              <w:top w:val="single" w:sz="8" w:space="0" w:color="000000"/>
              <w:left w:val="single" w:sz="8" w:space="0" w:color="000000"/>
              <w:bottom w:val="single" w:sz="8" w:space="0" w:color="000000"/>
              <w:right w:val="single" w:sz="8" w:space="0" w:color="000000"/>
            </w:tcBorders>
          </w:tcPr>
          <w:p w14:paraId="1FBBD24C" w14:textId="77777777" w:rsidR="00E763E6" w:rsidRDefault="00E763E6" w:rsidP="00073C86">
            <w:pPr>
              <w:ind w:right="130"/>
              <w:jc w:val="center"/>
            </w:pPr>
            <w:r>
              <w:rPr>
                <w:rFonts w:eastAsia="Arial" w:cs="Arial"/>
              </w:rPr>
              <w:t xml:space="preserve">5 </w:t>
            </w:r>
          </w:p>
        </w:tc>
        <w:tc>
          <w:tcPr>
            <w:tcW w:w="2003" w:type="dxa"/>
            <w:tcBorders>
              <w:top w:val="single" w:sz="8" w:space="0" w:color="000000"/>
              <w:left w:val="single" w:sz="8" w:space="0" w:color="000000"/>
              <w:bottom w:val="single" w:sz="8" w:space="0" w:color="000000"/>
              <w:right w:val="single" w:sz="8" w:space="0" w:color="000000"/>
            </w:tcBorders>
          </w:tcPr>
          <w:p w14:paraId="037F7E63" w14:textId="77777777" w:rsidR="00E763E6" w:rsidRDefault="00E763E6" w:rsidP="00073C86">
            <w:pPr>
              <w:ind w:right="133"/>
              <w:jc w:val="center"/>
            </w:pPr>
            <w:r>
              <w:rPr>
                <w:rFonts w:eastAsia="Arial" w:cs="Arial"/>
              </w:rPr>
              <w:t xml:space="preserve">£123,588 </w:t>
            </w:r>
          </w:p>
        </w:tc>
      </w:tr>
    </w:tbl>
    <w:p w14:paraId="6A7AC065" w14:textId="77777777" w:rsidR="00E763E6" w:rsidRPr="00334EC4" w:rsidRDefault="00E763E6" w:rsidP="00E763E6">
      <w:pPr>
        <w:pStyle w:val="Default"/>
        <w:rPr>
          <w:lang w:val="en-GB" w:eastAsia="en-GB"/>
        </w:rPr>
      </w:pPr>
    </w:p>
    <w:tbl>
      <w:tblPr>
        <w:tblW w:w="0" w:type="auto"/>
        <w:tblBorders>
          <w:top w:val="nil"/>
          <w:left w:val="nil"/>
          <w:bottom w:val="nil"/>
          <w:right w:val="nil"/>
        </w:tblBorders>
        <w:tblLayout w:type="fixed"/>
        <w:tblLook w:val="0000" w:firstRow="0" w:lastRow="0" w:firstColumn="0" w:lastColumn="0" w:noHBand="0" w:noVBand="0"/>
      </w:tblPr>
      <w:tblGrid>
        <w:gridCol w:w="799"/>
      </w:tblGrid>
      <w:tr w:rsidR="00E763E6" w:rsidRPr="00334EC4" w14:paraId="18CB5CF0" w14:textId="77777777" w:rsidTr="00073C86">
        <w:trPr>
          <w:trHeight w:val="112"/>
        </w:trPr>
        <w:tc>
          <w:tcPr>
            <w:tcW w:w="799" w:type="dxa"/>
          </w:tcPr>
          <w:p w14:paraId="0233D051" w14:textId="77777777" w:rsidR="00E763E6" w:rsidRPr="00334EC4" w:rsidRDefault="00E763E6" w:rsidP="00073C86">
            <w:pPr>
              <w:autoSpaceDE w:val="0"/>
              <w:autoSpaceDN w:val="0"/>
              <w:adjustRightInd w:val="0"/>
              <w:rPr>
                <w:rFonts w:cs="Arial"/>
                <w:color w:val="000000"/>
                <w:szCs w:val="24"/>
                <w:lang w:eastAsia="en-GB"/>
              </w:rPr>
            </w:pPr>
          </w:p>
        </w:tc>
      </w:tr>
    </w:tbl>
    <w:p w14:paraId="2BBC8371" w14:textId="77777777" w:rsidR="00E763E6" w:rsidRPr="00334EC4" w:rsidRDefault="00E763E6" w:rsidP="00E763E6">
      <w:pPr>
        <w:rPr>
          <w:rFonts w:cs="Arial"/>
          <w:szCs w:val="24"/>
        </w:rPr>
      </w:pPr>
    </w:p>
    <w:p w14:paraId="7A0B5ACB" w14:textId="77777777" w:rsidR="00E763E6" w:rsidRPr="00334EC4" w:rsidRDefault="00E763E6" w:rsidP="00E763E6">
      <w:pPr>
        <w:rPr>
          <w:rFonts w:cs="Arial"/>
          <w:b/>
          <w:szCs w:val="24"/>
        </w:rPr>
      </w:pPr>
      <w:r w:rsidRPr="00334EC4">
        <w:rPr>
          <w:rFonts w:cs="Arial"/>
          <w:b/>
          <w:szCs w:val="24"/>
        </w:rPr>
        <w:t>Remuneration Package</w:t>
      </w:r>
    </w:p>
    <w:p w14:paraId="20A7084C" w14:textId="77777777" w:rsidR="00E763E6" w:rsidRPr="00334EC4" w:rsidRDefault="00E763E6" w:rsidP="00E763E6">
      <w:pPr>
        <w:rPr>
          <w:rFonts w:cs="Arial"/>
          <w:szCs w:val="24"/>
        </w:rPr>
      </w:pPr>
    </w:p>
    <w:p w14:paraId="51F8B37C" w14:textId="77777777" w:rsidR="00437BC3" w:rsidRDefault="00E763E6" w:rsidP="002811E2">
      <w:pPr>
        <w:ind w:left="720" w:hanging="720"/>
        <w:rPr>
          <w:rFonts w:cs="Arial"/>
          <w:szCs w:val="24"/>
        </w:rPr>
      </w:pPr>
      <w:r w:rsidRPr="00334EC4">
        <w:rPr>
          <w:rFonts w:cs="Arial"/>
          <w:szCs w:val="24"/>
        </w:rPr>
        <w:t>2. 1</w:t>
      </w:r>
      <w:r w:rsidR="00772D28">
        <w:rPr>
          <w:rFonts w:cs="Arial"/>
          <w:szCs w:val="24"/>
        </w:rPr>
        <w:t>1</w:t>
      </w:r>
      <w:r w:rsidRPr="00334EC4">
        <w:rPr>
          <w:rFonts w:cs="Arial"/>
          <w:szCs w:val="24"/>
        </w:rPr>
        <w:tab/>
        <w:t>The Chief Officers’ Employment Panel are therefore requested to agree that the</w:t>
      </w:r>
      <w:r>
        <w:rPr>
          <w:rFonts w:cs="Arial"/>
          <w:szCs w:val="24"/>
        </w:rPr>
        <w:t>se</w:t>
      </w:r>
      <w:r w:rsidRPr="00334EC4">
        <w:rPr>
          <w:rFonts w:cs="Arial"/>
          <w:szCs w:val="24"/>
        </w:rPr>
        <w:t xml:space="preserve"> </w:t>
      </w:r>
      <w:r>
        <w:rPr>
          <w:rFonts w:cs="Arial"/>
          <w:szCs w:val="24"/>
        </w:rPr>
        <w:t xml:space="preserve">Director </w:t>
      </w:r>
      <w:r w:rsidRPr="00334EC4">
        <w:rPr>
          <w:rFonts w:cs="Arial"/>
          <w:szCs w:val="24"/>
        </w:rPr>
        <w:t>post</w:t>
      </w:r>
      <w:r>
        <w:rPr>
          <w:rFonts w:cs="Arial"/>
          <w:szCs w:val="24"/>
        </w:rPr>
        <w:t>s</w:t>
      </w:r>
      <w:r w:rsidRPr="00334EC4">
        <w:rPr>
          <w:rFonts w:cs="Arial"/>
          <w:szCs w:val="24"/>
        </w:rPr>
        <w:t xml:space="preserve"> be graded as D2. </w:t>
      </w:r>
      <w:r w:rsidR="005A23BA">
        <w:rPr>
          <w:rFonts w:cs="Arial"/>
          <w:szCs w:val="24"/>
        </w:rPr>
        <w:t>Both post holders will move to SCP 1 of D2</w:t>
      </w:r>
      <w:r w:rsidR="00B46900">
        <w:rPr>
          <w:rFonts w:cs="Arial"/>
          <w:szCs w:val="24"/>
        </w:rPr>
        <w:t>,</w:t>
      </w:r>
      <w:r w:rsidR="005A23BA">
        <w:rPr>
          <w:rFonts w:cs="Arial"/>
          <w:szCs w:val="24"/>
        </w:rPr>
        <w:t xml:space="preserve"> </w:t>
      </w:r>
      <w:r w:rsidR="00D82187">
        <w:rPr>
          <w:rFonts w:cs="Arial"/>
          <w:szCs w:val="24"/>
        </w:rPr>
        <w:t xml:space="preserve">backdated to </w:t>
      </w:r>
      <w:r w:rsidR="00B46900">
        <w:rPr>
          <w:rFonts w:cs="Arial"/>
          <w:szCs w:val="24"/>
        </w:rPr>
        <w:t>1</w:t>
      </w:r>
      <w:r w:rsidR="00B46900" w:rsidRPr="00B46900">
        <w:rPr>
          <w:rFonts w:cs="Arial"/>
          <w:szCs w:val="24"/>
          <w:vertAlign w:val="superscript"/>
        </w:rPr>
        <w:t>st</w:t>
      </w:r>
      <w:r w:rsidR="00B46900">
        <w:rPr>
          <w:rFonts w:cs="Arial"/>
          <w:szCs w:val="24"/>
        </w:rPr>
        <w:t xml:space="preserve"> April 2020.</w:t>
      </w:r>
    </w:p>
    <w:p w14:paraId="3F85F287" w14:textId="248F5E9D" w:rsidR="00E763E6" w:rsidRPr="002811E2" w:rsidRDefault="001F32AB" w:rsidP="00825BB9">
      <w:pPr>
        <w:ind w:left="720"/>
        <w:rPr>
          <w:rFonts w:cs="Arial"/>
          <w:szCs w:val="24"/>
        </w:rPr>
      </w:pPr>
      <w:r>
        <w:rPr>
          <w:rFonts w:cs="Arial"/>
          <w:szCs w:val="24"/>
        </w:rPr>
        <w:t>[</w:t>
      </w:r>
      <w:r w:rsidR="00B46900">
        <w:rPr>
          <w:rFonts w:cs="Arial"/>
          <w:szCs w:val="24"/>
        </w:rPr>
        <w:t xml:space="preserve">This is because the </w:t>
      </w:r>
      <w:r w:rsidR="00CB7D17">
        <w:rPr>
          <w:rFonts w:cs="Arial"/>
          <w:szCs w:val="24"/>
        </w:rPr>
        <w:t>re-evaluation of the posts was paused in March 2020 due to the pandemic</w:t>
      </w:r>
      <w:r>
        <w:rPr>
          <w:rFonts w:cs="Arial"/>
          <w:szCs w:val="24"/>
        </w:rPr>
        <w:t>, and should have taken effect from that time]</w:t>
      </w:r>
      <w:r w:rsidR="00CB7D17">
        <w:rPr>
          <w:rFonts w:cs="Arial"/>
          <w:szCs w:val="24"/>
        </w:rPr>
        <w:t>.</w:t>
      </w:r>
    </w:p>
    <w:p w14:paraId="10B605EE" w14:textId="77777777" w:rsidR="00E763E6" w:rsidRDefault="00E763E6" w:rsidP="00E763E6">
      <w:pPr>
        <w:pStyle w:val="Heading2"/>
      </w:pPr>
      <w:r>
        <w:t>Legal Implications</w:t>
      </w:r>
    </w:p>
    <w:p w14:paraId="320E299E" w14:textId="77777777" w:rsidR="00E763E6" w:rsidRDefault="00E763E6" w:rsidP="00E763E6">
      <w:pPr>
        <w:jc w:val="both"/>
        <w:rPr>
          <w:rFonts w:ascii="Gill Sans MT" w:hAnsi="Gill Sans MT" w:cs="Arial"/>
          <w:szCs w:val="24"/>
        </w:rPr>
      </w:pPr>
    </w:p>
    <w:p w14:paraId="645F680A" w14:textId="77777777" w:rsidR="00E763E6" w:rsidRPr="00AE6350" w:rsidRDefault="00E763E6" w:rsidP="00E763E6">
      <w:pPr>
        <w:ind w:left="720"/>
        <w:jc w:val="both"/>
        <w:rPr>
          <w:rFonts w:cs="Arial"/>
          <w:szCs w:val="24"/>
        </w:rPr>
      </w:pPr>
      <w:r w:rsidRPr="00AE6350">
        <w:rPr>
          <w:rFonts w:cs="Arial"/>
          <w:szCs w:val="24"/>
        </w:rPr>
        <w:t>In accordance with the Constitution, this Panel is required to approve a remuneration package of £100,000 or over for any Council post.</w:t>
      </w:r>
    </w:p>
    <w:p w14:paraId="3B273913" w14:textId="77777777" w:rsidR="00E763E6" w:rsidRPr="00AE6350" w:rsidRDefault="00E763E6" w:rsidP="00E763E6">
      <w:pPr>
        <w:jc w:val="both"/>
        <w:rPr>
          <w:rFonts w:cs="Arial"/>
          <w:szCs w:val="24"/>
        </w:rPr>
      </w:pPr>
    </w:p>
    <w:p w14:paraId="6C3D218D" w14:textId="6780D1D1" w:rsidR="00E763E6" w:rsidRDefault="00E763E6" w:rsidP="00BB663C">
      <w:pPr>
        <w:ind w:left="720"/>
        <w:jc w:val="both"/>
        <w:rPr>
          <w:rFonts w:cs="Arial"/>
        </w:rPr>
      </w:pPr>
      <w:r w:rsidRPr="00AE6350">
        <w:rPr>
          <w:rFonts w:cs="Arial"/>
          <w:szCs w:val="24"/>
        </w:rPr>
        <w:t>The Panel is required to report back to Council for information purposes on all such approved remuneration packages.</w:t>
      </w:r>
    </w:p>
    <w:p w14:paraId="003D0DB8" w14:textId="77777777" w:rsidR="00E763E6" w:rsidRDefault="00E763E6" w:rsidP="00E763E6">
      <w:pPr>
        <w:pStyle w:val="Heading2"/>
        <w:spacing w:after="240"/>
      </w:pPr>
      <w:r>
        <w:t>Financial Implications</w:t>
      </w:r>
    </w:p>
    <w:p w14:paraId="67812CE5" w14:textId="197B1682" w:rsidR="00E763E6" w:rsidRPr="002811E2" w:rsidRDefault="00E763E6" w:rsidP="002811E2">
      <w:pPr>
        <w:ind w:left="720"/>
        <w:jc w:val="both"/>
        <w:rPr>
          <w:rFonts w:cs="Arial"/>
          <w:szCs w:val="24"/>
        </w:rPr>
      </w:pPr>
      <w:r w:rsidRPr="00A65B88">
        <w:rPr>
          <w:rFonts w:cs="Arial"/>
          <w:szCs w:val="24"/>
        </w:rPr>
        <w:t xml:space="preserve">The financial implications of this report will be contained within the current resources of the People Services Directorate. </w:t>
      </w:r>
    </w:p>
    <w:p w14:paraId="61A44C91" w14:textId="77777777" w:rsidR="00E763E6" w:rsidRPr="003D2FFE" w:rsidRDefault="00E763E6" w:rsidP="00E763E6">
      <w:pPr>
        <w:pStyle w:val="Heading2"/>
        <w:spacing w:after="240"/>
      </w:pPr>
      <w:r>
        <w:t>Risk Management Implications</w:t>
      </w:r>
    </w:p>
    <w:p w14:paraId="771A4EC8" w14:textId="77777777" w:rsidR="00E763E6" w:rsidRPr="00A65B88" w:rsidRDefault="00E763E6" w:rsidP="00E763E6">
      <w:pPr>
        <w:ind w:firstLine="720"/>
        <w:jc w:val="both"/>
        <w:rPr>
          <w:rFonts w:cs="Arial"/>
          <w:szCs w:val="24"/>
        </w:rPr>
      </w:pPr>
      <w:r w:rsidRPr="00A65B88">
        <w:rPr>
          <w:rFonts w:cs="Arial"/>
          <w:szCs w:val="24"/>
        </w:rPr>
        <w:t>Risk included on Directorates risk registers</w:t>
      </w:r>
      <w:r>
        <w:rPr>
          <w:rFonts w:cs="Arial"/>
          <w:szCs w:val="24"/>
        </w:rPr>
        <w:t>:</w:t>
      </w:r>
      <w:r w:rsidRPr="00A65B88">
        <w:rPr>
          <w:rFonts w:cs="Arial"/>
          <w:szCs w:val="24"/>
        </w:rPr>
        <w:t xml:space="preserve"> No</w:t>
      </w:r>
    </w:p>
    <w:p w14:paraId="474D5561" w14:textId="77777777" w:rsidR="00E763E6" w:rsidRPr="00A65B88" w:rsidRDefault="00E763E6" w:rsidP="00E763E6">
      <w:pPr>
        <w:ind w:firstLine="720"/>
        <w:jc w:val="both"/>
        <w:rPr>
          <w:rFonts w:cs="Arial"/>
          <w:szCs w:val="24"/>
        </w:rPr>
      </w:pPr>
      <w:r w:rsidRPr="00A65B88">
        <w:rPr>
          <w:rFonts w:cs="Arial"/>
          <w:szCs w:val="24"/>
        </w:rPr>
        <w:t>Separate risk register in place</w:t>
      </w:r>
      <w:r>
        <w:rPr>
          <w:rFonts w:cs="Arial"/>
          <w:szCs w:val="24"/>
        </w:rPr>
        <w:t>:</w:t>
      </w:r>
      <w:r w:rsidRPr="00A65B88">
        <w:rPr>
          <w:rFonts w:cs="Arial"/>
          <w:szCs w:val="24"/>
        </w:rPr>
        <w:t xml:space="preserve"> No</w:t>
      </w:r>
    </w:p>
    <w:p w14:paraId="7CD1347D" w14:textId="77777777" w:rsidR="00E763E6" w:rsidRPr="00A65B88" w:rsidRDefault="00E763E6" w:rsidP="00E763E6">
      <w:pPr>
        <w:jc w:val="both"/>
        <w:rPr>
          <w:rFonts w:cs="Arial"/>
          <w:szCs w:val="24"/>
        </w:rPr>
      </w:pPr>
    </w:p>
    <w:p w14:paraId="6B1BBB77" w14:textId="221B35B2" w:rsidR="00E763E6" w:rsidRPr="002811E2" w:rsidRDefault="00E763E6" w:rsidP="002811E2">
      <w:pPr>
        <w:ind w:left="720"/>
        <w:jc w:val="both"/>
        <w:rPr>
          <w:rFonts w:cs="Arial"/>
          <w:szCs w:val="24"/>
        </w:rPr>
      </w:pPr>
      <w:r w:rsidRPr="00A65B88">
        <w:rPr>
          <w:rFonts w:cs="Arial"/>
          <w:szCs w:val="24"/>
        </w:rPr>
        <w:t>The report complies with the Chief Officer and senior manager contractual terms and conditions of employment</w:t>
      </w:r>
      <w:r>
        <w:rPr>
          <w:rFonts w:cs="Arial"/>
          <w:szCs w:val="24"/>
        </w:rPr>
        <w:t>.</w:t>
      </w:r>
      <w:r w:rsidRPr="00A65B88">
        <w:rPr>
          <w:rFonts w:cs="Arial"/>
          <w:szCs w:val="24"/>
        </w:rPr>
        <w:t xml:space="preserve"> </w:t>
      </w:r>
    </w:p>
    <w:p w14:paraId="21F3C58F" w14:textId="77777777" w:rsidR="00E763E6" w:rsidRDefault="00E763E6" w:rsidP="00E763E6">
      <w:pPr>
        <w:pStyle w:val="Heading2"/>
        <w:keepNext/>
        <w:spacing w:after="240"/>
      </w:pPr>
      <w:r w:rsidRPr="004A2543">
        <w:t>Equalities implications</w:t>
      </w:r>
      <w:r>
        <w:t xml:space="preserve"> / Public Sector Equality Duty </w:t>
      </w:r>
    </w:p>
    <w:p w14:paraId="1FEED199" w14:textId="77777777" w:rsidR="00E763E6" w:rsidRPr="00F15BB5" w:rsidRDefault="00E763E6" w:rsidP="00E763E6">
      <w:pPr>
        <w:jc w:val="both"/>
        <w:rPr>
          <w:rFonts w:cs="Arial"/>
          <w:szCs w:val="24"/>
        </w:rPr>
      </w:pPr>
      <w:r w:rsidRPr="00F15BB5">
        <w:rPr>
          <w:rFonts w:cs="Arial"/>
          <w:szCs w:val="24"/>
        </w:rPr>
        <w:t>Was an Equality Impact Assessment carried out? No</w:t>
      </w:r>
    </w:p>
    <w:p w14:paraId="27EB9B79" w14:textId="77777777" w:rsidR="00E763E6" w:rsidRPr="00F15BB5" w:rsidRDefault="00E763E6" w:rsidP="00E763E6">
      <w:pPr>
        <w:jc w:val="both"/>
        <w:rPr>
          <w:rFonts w:cs="Arial"/>
          <w:szCs w:val="24"/>
        </w:rPr>
      </w:pPr>
    </w:p>
    <w:p w14:paraId="14B82FFA" w14:textId="08E7B78C" w:rsidR="00E763E6" w:rsidRPr="00F15BB5" w:rsidRDefault="00E763E6" w:rsidP="00E763E6">
      <w:pPr>
        <w:jc w:val="both"/>
        <w:rPr>
          <w:rFonts w:cs="Arial"/>
          <w:szCs w:val="24"/>
        </w:rPr>
      </w:pPr>
      <w:r w:rsidRPr="00F15BB5">
        <w:rPr>
          <w:rFonts w:cs="Arial"/>
          <w:szCs w:val="24"/>
        </w:rPr>
        <w:lastRenderedPageBreak/>
        <w:t>An Equality Impact Assessment (EqIA) has not been carried out, as the diversity of senior management is reported annually to the Employees’ Consultative Forum. The latest annual report identified from the Council’s workforce profile data, that there is an under representation of women, BAME and disabled staff in the current senior management structure. The following actions have been proposed over the last number of years:</w:t>
      </w:r>
    </w:p>
    <w:p w14:paraId="79153414" w14:textId="77777777" w:rsidR="00E763E6" w:rsidRPr="00F15BB5" w:rsidRDefault="00E763E6" w:rsidP="00E763E6">
      <w:pPr>
        <w:jc w:val="both"/>
        <w:rPr>
          <w:rFonts w:cs="Arial"/>
          <w:szCs w:val="24"/>
        </w:rPr>
      </w:pPr>
    </w:p>
    <w:p w14:paraId="3D7BCE30" w14:textId="77777777" w:rsidR="00E763E6" w:rsidRPr="00946E23" w:rsidRDefault="00E763E6" w:rsidP="00E763E6">
      <w:pPr>
        <w:pStyle w:val="ListParagraph"/>
        <w:numPr>
          <w:ilvl w:val="0"/>
          <w:numId w:val="16"/>
        </w:numPr>
        <w:jc w:val="both"/>
        <w:rPr>
          <w:sz w:val="24"/>
          <w:szCs w:val="24"/>
        </w:rPr>
      </w:pPr>
      <w:r w:rsidRPr="00946E23">
        <w:rPr>
          <w:sz w:val="24"/>
          <w:szCs w:val="24"/>
        </w:rPr>
        <w:t>The Council will ensure all affected managers are treated fairly and there is no discrimination.</w:t>
      </w:r>
    </w:p>
    <w:p w14:paraId="51A1E911" w14:textId="77777777" w:rsidR="00E763E6" w:rsidRPr="00946E23" w:rsidRDefault="00E763E6" w:rsidP="00E763E6">
      <w:pPr>
        <w:jc w:val="both"/>
        <w:rPr>
          <w:rFonts w:cs="Arial"/>
          <w:szCs w:val="24"/>
        </w:rPr>
      </w:pPr>
    </w:p>
    <w:p w14:paraId="4B772504" w14:textId="77777777" w:rsidR="00E763E6" w:rsidRPr="00946E23" w:rsidRDefault="00E763E6" w:rsidP="00E763E6">
      <w:pPr>
        <w:pStyle w:val="ListParagraph"/>
        <w:numPr>
          <w:ilvl w:val="0"/>
          <w:numId w:val="16"/>
        </w:numPr>
        <w:jc w:val="both"/>
        <w:rPr>
          <w:sz w:val="24"/>
          <w:szCs w:val="24"/>
        </w:rPr>
      </w:pPr>
      <w:r w:rsidRPr="00946E23">
        <w:rPr>
          <w:sz w:val="24"/>
          <w:szCs w:val="24"/>
        </w:rPr>
        <w:t>The Council will continue to promote equality of opportunity and encourage and facilitate the development and appointment of underrepresented groups into senior posts.</w:t>
      </w:r>
    </w:p>
    <w:p w14:paraId="34D3DD40" w14:textId="77777777" w:rsidR="00E763E6" w:rsidRPr="00946E23" w:rsidRDefault="00E763E6" w:rsidP="00E763E6">
      <w:pPr>
        <w:pStyle w:val="ListParagraph"/>
        <w:rPr>
          <w:sz w:val="24"/>
          <w:szCs w:val="24"/>
        </w:rPr>
      </w:pPr>
    </w:p>
    <w:p w14:paraId="3EDBAF13" w14:textId="77777777" w:rsidR="00E763E6" w:rsidRPr="00946E23" w:rsidRDefault="00E763E6" w:rsidP="00E763E6">
      <w:pPr>
        <w:pStyle w:val="ListParagraph"/>
        <w:numPr>
          <w:ilvl w:val="0"/>
          <w:numId w:val="16"/>
        </w:numPr>
        <w:jc w:val="both"/>
        <w:rPr>
          <w:sz w:val="24"/>
          <w:szCs w:val="24"/>
        </w:rPr>
      </w:pPr>
      <w:r w:rsidRPr="00946E23">
        <w:rPr>
          <w:sz w:val="24"/>
          <w:szCs w:val="24"/>
        </w:rPr>
        <w:t>As the current postholders will be directly assimilated into these roles, the outcome of this exercise will result in no change to this under representation.</w:t>
      </w:r>
    </w:p>
    <w:p w14:paraId="0CD8490B" w14:textId="77777777" w:rsidR="00E763E6" w:rsidRPr="00946E23" w:rsidRDefault="00E763E6" w:rsidP="00E763E6">
      <w:pPr>
        <w:pStyle w:val="ListParagraph"/>
        <w:rPr>
          <w:sz w:val="24"/>
          <w:szCs w:val="24"/>
        </w:rPr>
      </w:pPr>
    </w:p>
    <w:p w14:paraId="49FCC83E" w14:textId="1F395AAA" w:rsidR="00E763E6" w:rsidRPr="00946E23" w:rsidRDefault="00E763E6" w:rsidP="00B9705E">
      <w:pPr>
        <w:pStyle w:val="ListParagraph"/>
        <w:numPr>
          <w:ilvl w:val="0"/>
          <w:numId w:val="16"/>
        </w:numPr>
        <w:jc w:val="both"/>
        <w:rPr>
          <w:rFonts w:ascii="Gill Sans MT" w:hAnsi="Gill Sans MT"/>
          <w:sz w:val="24"/>
          <w:szCs w:val="24"/>
        </w:rPr>
      </w:pPr>
      <w:r w:rsidRPr="00946E23">
        <w:rPr>
          <w:sz w:val="24"/>
          <w:szCs w:val="24"/>
        </w:rPr>
        <w:t>The Council will continue to monitor the representation of women, black and ethnic minorities and those with a disability in senior management through performance indicators and report this annually to the Employees’ Consultative Forum.</w:t>
      </w:r>
    </w:p>
    <w:p w14:paraId="019AD13D" w14:textId="77777777" w:rsidR="00E763E6" w:rsidRDefault="00E763E6" w:rsidP="00E763E6">
      <w:pPr>
        <w:pStyle w:val="Heading2"/>
        <w:spacing w:after="240"/>
      </w:pPr>
      <w:r>
        <w:t xml:space="preserve">Council </w:t>
      </w:r>
      <w:r w:rsidRPr="00CD57D8">
        <w:t>Priorities</w:t>
      </w:r>
    </w:p>
    <w:p w14:paraId="2B59B50D" w14:textId="77777777" w:rsidR="00E763E6" w:rsidRPr="008F7DCC" w:rsidRDefault="00E763E6" w:rsidP="00E763E6">
      <w:pPr>
        <w:rPr>
          <w:rFonts w:cs="Arial"/>
        </w:rPr>
      </w:pPr>
      <w:r>
        <w:rPr>
          <w:rFonts w:cs="Arial"/>
        </w:rPr>
        <w:t>These roles</w:t>
      </w:r>
      <w:r w:rsidRPr="008F7DCC">
        <w:rPr>
          <w:rFonts w:cs="Arial"/>
        </w:rPr>
        <w:t xml:space="preserve"> will support the Council’s objectives in a number of areas and relates to the following high-level priorities: </w:t>
      </w:r>
    </w:p>
    <w:p w14:paraId="2B838DCA" w14:textId="77777777" w:rsidR="00E763E6" w:rsidRPr="008F7DCC" w:rsidRDefault="00E763E6" w:rsidP="00E763E6">
      <w:pPr>
        <w:rPr>
          <w:rFonts w:cs="Arial"/>
        </w:rPr>
      </w:pPr>
    </w:p>
    <w:p w14:paraId="70E34A18" w14:textId="77777777" w:rsidR="00E763E6" w:rsidRPr="008F7DCC" w:rsidRDefault="00E763E6" w:rsidP="00E763E6">
      <w:pPr>
        <w:pStyle w:val="ListParagraph"/>
        <w:numPr>
          <w:ilvl w:val="0"/>
          <w:numId w:val="9"/>
        </w:numPr>
        <w:autoSpaceDE w:val="0"/>
        <w:autoSpaceDN w:val="0"/>
        <w:contextualSpacing/>
        <w:jc w:val="both"/>
        <w:rPr>
          <w:bCs/>
          <w:szCs w:val="24"/>
        </w:rPr>
      </w:pPr>
      <w:r w:rsidRPr="008F7DCC">
        <w:rPr>
          <w:bCs/>
          <w:szCs w:val="24"/>
        </w:rPr>
        <w:t>Improving the environment and addressing climate change</w:t>
      </w:r>
    </w:p>
    <w:p w14:paraId="5A9E7CC1" w14:textId="77777777" w:rsidR="00E763E6" w:rsidRPr="008F7DCC" w:rsidRDefault="00E763E6" w:rsidP="00E763E6">
      <w:pPr>
        <w:pStyle w:val="ListParagraph"/>
        <w:numPr>
          <w:ilvl w:val="0"/>
          <w:numId w:val="9"/>
        </w:numPr>
        <w:autoSpaceDE w:val="0"/>
        <w:autoSpaceDN w:val="0"/>
        <w:contextualSpacing/>
        <w:jc w:val="both"/>
        <w:rPr>
          <w:bCs/>
          <w:szCs w:val="24"/>
        </w:rPr>
      </w:pPr>
      <w:r w:rsidRPr="008F7DCC">
        <w:rPr>
          <w:bCs/>
          <w:szCs w:val="24"/>
        </w:rPr>
        <w:t>Tackling poverty and inequality</w:t>
      </w:r>
    </w:p>
    <w:p w14:paraId="0D24EE47" w14:textId="77777777" w:rsidR="00E763E6" w:rsidRPr="008F7DCC" w:rsidRDefault="00E763E6" w:rsidP="00E763E6">
      <w:pPr>
        <w:pStyle w:val="ListParagraph"/>
        <w:numPr>
          <w:ilvl w:val="0"/>
          <w:numId w:val="9"/>
        </w:numPr>
        <w:autoSpaceDE w:val="0"/>
        <w:autoSpaceDN w:val="0"/>
        <w:contextualSpacing/>
        <w:jc w:val="both"/>
        <w:rPr>
          <w:bCs/>
          <w:szCs w:val="24"/>
        </w:rPr>
      </w:pPr>
      <w:r w:rsidRPr="008F7DCC">
        <w:rPr>
          <w:bCs/>
          <w:szCs w:val="24"/>
        </w:rPr>
        <w:t>Building homes and infrastructure</w:t>
      </w:r>
    </w:p>
    <w:p w14:paraId="5CD5DE6D" w14:textId="77777777" w:rsidR="00E763E6" w:rsidRPr="008F7DCC" w:rsidRDefault="00E763E6" w:rsidP="00E763E6">
      <w:pPr>
        <w:pStyle w:val="ListParagraph"/>
        <w:numPr>
          <w:ilvl w:val="0"/>
          <w:numId w:val="9"/>
        </w:numPr>
        <w:autoSpaceDE w:val="0"/>
        <w:autoSpaceDN w:val="0"/>
        <w:contextualSpacing/>
        <w:jc w:val="both"/>
        <w:rPr>
          <w:bCs/>
          <w:szCs w:val="24"/>
        </w:rPr>
      </w:pPr>
      <w:r w:rsidRPr="008F7DCC">
        <w:rPr>
          <w:bCs/>
          <w:szCs w:val="24"/>
        </w:rPr>
        <w:t>Addressing health and social care inequality</w:t>
      </w:r>
    </w:p>
    <w:p w14:paraId="13C2E420" w14:textId="77777777" w:rsidR="00E763E6" w:rsidRPr="008F7DCC" w:rsidRDefault="00E763E6" w:rsidP="00E763E6">
      <w:pPr>
        <w:pStyle w:val="ListParagraph"/>
        <w:numPr>
          <w:ilvl w:val="0"/>
          <w:numId w:val="9"/>
        </w:numPr>
        <w:autoSpaceDE w:val="0"/>
        <w:autoSpaceDN w:val="0"/>
        <w:contextualSpacing/>
        <w:jc w:val="both"/>
        <w:rPr>
          <w:bCs/>
          <w:szCs w:val="24"/>
        </w:rPr>
      </w:pPr>
      <w:r w:rsidRPr="008F7DCC">
        <w:rPr>
          <w:bCs/>
          <w:szCs w:val="24"/>
        </w:rPr>
        <w:t>Thriving economy</w:t>
      </w:r>
    </w:p>
    <w:p w14:paraId="21784E88" w14:textId="77777777" w:rsidR="00E763E6" w:rsidRDefault="00E763E6" w:rsidP="00E763E6">
      <w:pPr>
        <w:pStyle w:val="Heading2"/>
      </w:pPr>
      <w:r>
        <w:t>Section 3 - Statutory Officer Clearance</w:t>
      </w:r>
    </w:p>
    <w:p w14:paraId="1F698376" w14:textId="77777777" w:rsidR="00E763E6" w:rsidRPr="00A66326" w:rsidRDefault="00E763E6" w:rsidP="00E763E6">
      <w:pPr>
        <w:rPr>
          <w:sz w:val="28"/>
        </w:rPr>
      </w:pPr>
      <w:r w:rsidRPr="00A66326">
        <w:rPr>
          <w:b/>
          <w:sz w:val="28"/>
        </w:rPr>
        <w:t xml:space="preserve">Statutory Officer:  </w:t>
      </w:r>
    </w:p>
    <w:p w14:paraId="2DE5075B" w14:textId="50BF0787" w:rsidR="00E763E6" w:rsidRPr="00946E23" w:rsidRDefault="00E763E6" w:rsidP="00E763E6">
      <w:pPr>
        <w:rPr>
          <w:szCs w:val="24"/>
        </w:rPr>
      </w:pPr>
      <w:r w:rsidRPr="00946E23">
        <w:rPr>
          <w:szCs w:val="24"/>
        </w:rPr>
        <w:t>Signed on behalf of the Chief Financial Officer</w:t>
      </w:r>
    </w:p>
    <w:p w14:paraId="2AD30D49" w14:textId="77777777" w:rsidR="00AC0435" w:rsidRPr="00946E23" w:rsidRDefault="00AC0435" w:rsidP="00AC0435">
      <w:pPr>
        <w:rPr>
          <w:rFonts w:ascii="Calibri" w:hAnsi="Calibri"/>
          <w:szCs w:val="24"/>
        </w:rPr>
      </w:pPr>
      <w:r w:rsidRPr="00946E23">
        <w:rPr>
          <w:szCs w:val="24"/>
        </w:rPr>
        <w:t>Sharon Daniels</w:t>
      </w:r>
    </w:p>
    <w:p w14:paraId="7DB16D7A" w14:textId="77777777" w:rsidR="00AC0435" w:rsidRPr="00946E23" w:rsidRDefault="00AC0435" w:rsidP="00AC0435">
      <w:pPr>
        <w:rPr>
          <w:szCs w:val="24"/>
        </w:rPr>
      </w:pPr>
      <w:r w:rsidRPr="00946E23">
        <w:rPr>
          <w:szCs w:val="24"/>
        </w:rPr>
        <w:t>Head of Strategic and Technical Finance (Deputy S151)</w:t>
      </w:r>
    </w:p>
    <w:p w14:paraId="4657FE75" w14:textId="76FB8966" w:rsidR="00E763E6" w:rsidRPr="00946E23" w:rsidRDefault="00E763E6" w:rsidP="00E763E6">
      <w:pPr>
        <w:ind w:left="360" w:hanging="360"/>
        <w:jc w:val="both"/>
        <w:rPr>
          <w:rFonts w:cs="Arial"/>
          <w:color w:val="FF0000"/>
          <w:szCs w:val="24"/>
        </w:rPr>
      </w:pPr>
    </w:p>
    <w:p w14:paraId="38C9A486" w14:textId="77777777" w:rsidR="00E763E6" w:rsidRPr="00A66326" w:rsidRDefault="00E763E6" w:rsidP="00E763E6">
      <w:pPr>
        <w:rPr>
          <w:sz w:val="28"/>
        </w:rPr>
      </w:pPr>
    </w:p>
    <w:p w14:paraId="2AB9703D" w14:textId="636A1FA7" w:rsidR="00E763E6" w:rsidRPr="00A66326" w:rsidRDefault="00E763E6" w:rsidP="00E763E6">
      <w:pPr>
        <w:spacing w:after="480"/>
        <w:rPr>
          <w:sz w:val="28"/>
        </w:rPr>
      </w:pPr>
      <w:r w:rsidRPr="00A66326">
        <w:rPr>
          <w:b/>
          <w:sz w:val="28"/>
        </w:rPr>
        <w:t xml:space="preserve">Date:  </w:t>
      </w:r>
      <w:r w:rsidR="00AC0435">
        <w:rPr>
          <w:b/>
          <w:sz w:val="28"/>
        </w:rPr>
        <w:t>8</w:t>
      </w:r>
      <w:r w:rsidR="00AC0435" w:rsidRPr="00AC0435">
        <w:rPr>
          <w:b/>
          <w:sz w:val="28"/>
          <w:vertAlign w:val="superscript"/>
        </w:rPr>
        <w:t>th</w:t>
      </w:r>
      <w:r w:rsidR="00AC0435">
        <w:rPr>
          <w:b/>
          <w:sz w:val="28"/>
        </w:rPr>
        <w:t xml:space="preserve"> March 2021</w:t>
      </w:r>
    </w:p>
    <w:p w14:paraId="2713998C" w14:textId="77777777" w:rsidR="00E763E6" w:rsidRPr="00946E23" w:rsidRDefault="00E763E6" w:rsidP="00E763E6">
      <w:pPr>
        <w:rPr>
          <w:rFonts w:cs="Arial"/>
          <w:szCs w:val="24"/>
        </w:rPr>
      </w:pPr>
      <w:r w:rsidRPr="00946E23">
        <w:rPr>
          <w:rFonts w:cs="Arial"/>
          <w:b/>
          <w:szCs w:val="24"/>
        </w:rPr>
        <w:t xml:space="preserve">Statutory Officer:  </w:t>
      </w:r>
    </w:p>
    <w:p w14:paraId="5579DFEA" w14:textId="4B90ABDF" w:rsidR="00AC0435" w:rsidRPr="00946E23" w:rsidRDefault="00E763E6" w:rsidP="00AC0435">
      <w:pPr>
        <w:rPr>
          <w:rFonts w:cs="Arial"/>
          <w:szCs w:val="24"/>
        </w:rPr>
      </w:pPr>
      <w:r w:rsidRPr="00946E23">
        <w:rPr>
          <w:rFonts w:cs="Arial"/>
          <w:szCs w:val="24"/>
        </w:rPr>
        <w:t>Signed on behalf of the Monitoring Officer</w:t>
      </w:r>
    </w:p>
    <w:p w14:paraId="2DA84072" w14:textId="30AF7074" w:rsidR="00AC0435" w:rsidRPr="00946E23" w:rsidRDefault="00AC0435" w:rsidP="00AC0435">
      <w:pPr>
        <w:rPr>
          <w:rFonts w:cs="Arial"/>
          <w:szCs w:val="24"/>
        </w:rPr>
      </w:pPr>
      <w:r w:rsidRPr="00946E23">
        <w:rPr>
          <w:rFonts w:cs="Arial"/>
          <w:color w:val="000000"/>
          <w:szCs w:val="24"/>
        </w:rPr>
        <w:t>Caroline Eccles</w:t>
      </w:r>
      <w:r w:rsidRPr="00946E23">
        <w:rPr>
          <w:rFonts w:cs="Arial"/>
          <w:color w:val="000000"/>
          <w:szCs w:val="24"/>
        </w:rPr>
        <w:br/>
        <w:t>Senior Lawyer - Employment and Governance</w:t>
      </w:r>
    </w:p>
    <w:p w14:paraId="44A73EB9" w14:textId="2ABD1508" w:rsidR="00E763E6" w:rsidRPr="002548D1" w:rsidRDefault="00E763E6" w:rsidP="00E763E6">
      <w:pPr>
        <w:ind w:left="360" w:hanging="360"/>
        <w:jc w:val="both"/>
        <w:rPr>
          <w:rFonts w:cs="Arial"/>
          <w:color w:val="FF0000"/>
        </w:rPr>
      </w:pPr>
    </w:p>
    <w:p w14:paraId="5F1E1A3E" w14:textId="77777777" w:rsidR="00E763E6" w:rsidRPr="00A66326" w:rsidRDefault="00E763E6" w:rsidP="00E763E6">
      <w:pPr>
        <w:rPr>
          <w:sz w:val="28"/>
        </w:rPr>
      </w:pPr>
    </w:p>
    <w:p w14:paraId="20E1B0F7" w14:textId="65B715B1" w:rsidR="00E763E6" w:rsidRPr="003313EA" w:rsidRDefault="00E763E6" w:rsidP="00E763E6">
      <w:pPr>
        <w:spacing w:after="480"/>
        <w:rPr>
          <w:sz w:val="28"/>
        </w:rPr>
      </w:pPr>
      <w:r w:rsidRPr="00A66326">
        <w:rPr>
          <w:b/>
          <w:sz w:val="28"/>
        </w:rPr>
        <w:lastRenderedPageBreak/>
        <w:t xml:space="preserve">Date:  </w:t>
      </w:r>
      <w:r w:rsidR="00AC0435">
        <w:rPr>
          <w:b/>
          <w:sz w:val="28"/>
        </w:rPr>
        <w:t>8</w:t>
      </w:r>
      <w:r w:rsidR="00AC0435" w:rsidRPr="00AC0435">
        <w:rPr>
          <w:b/>
          <w:sz w:val="28"/>
          <w:vertAlign w:val="superscript"/>
        </w:rPr>
        <w:t>th</w:t>
      </w:r>
      <w:r w:rsidR="00AC0435">
        <w:rPr>
          <w:b/>
          <w:sz w:val="28"/>
        </w:rPr>
        <w:t xml:space="preserve"> March 2021</w:t>
      </w:r>
    </w:p>
    <w:p w14:paraId="0D4EB18D" w14:textId="77777777" w:rsidR="00E763E6" w:rsidRPr="00DF4A0B" w:rsidRDefault="00E763E6" w:rsidP="00E763E6">
      <w:pPr>
        <w:rPr>
          <w:rFonts w:cs="Arial"/>
          <w:sz w:val="28"/>
          <w:szCs w:val="28"/>
          <w:lang w:eastAsia="en-GB"/>
        </w:rPr>
      </w:pPr>
      <w:r>
        <w:rPr>
          <w:b/>
          <w:sz w:val="28"/>
        </w:rPr>
        <w:t>Chief</w:t>
      </w:r>
      <w:r w:rsidRPr="00A66326">
        <w:rPr>
          <w:b/>
          <w:sz w:val="28"/>
        </w:rPr>
        <w:t xml:space="preserve"> Officer:  </w:t>
      </w:r>
      <w:r w:rsidRPr="00DF4A0B">
        <w:rPr>
          <w:rFonts w:cs="Arial"/>
          <w:sz w:val="28"/>
          <w:szCs w:val="28"/>
          <w:lang w:eastAsia="en-GB"/>
        </w:rPr>
        <w:t>Paul Hewitt</w:t>
      </w:r>
    </w:p>
    <w:p w14:paraId="1EFE1C15" w14:textId="77777777" w:rsidR="00E763E6" w:rsidRPr="00DF4A0B" w:rsidRDefault="00E763E6" w:rsidP="00E763E6">
      <w:pPr>
        <w:rPr>
          <w:rFonts w:cs="Arial"/>
          <w:sz w:val="28"/>
          <w:szCs w:val="28"/>
          <w:lang w:eastAsia="en-GB"/>
        </w:rPr>
      </w:pPr>
      <w:r w:rsidRPr="00DF4A0B">
        <w:rPr>
          <w:rFonts w:cs="Arial"/>
          <w:sz w:val="28"/>
          <w:szCs w:val="28"/>
          <w:lang w:eastAsia="en-GB"/>
        </w:rPr>
        <w:t xml:space="preserve">Corporate Director People Services </w:t>
      </w:r>
    </w:p>
    <w:p w14:paraId="15880B67" w14:textId="77777777" w:rsidR="00E763E6" w:rsidRPr="00A66326" w:rsidRDefault="00E763E6" w:rsidP="00E763E6">
      <w:pPr>
        <w:rPr>
          <w:sz w:val="28"/>
        </w:rPr>
      </w:pPr>
    </w:p>
    <w:p w14:paraId="1F2A239F" w14:textId="77777777" w:rsidR="00E763E6" w:rsidRPr="00A66326" w:rsidRDefault="00E763E6" w:rsidP="00E763E6">
      <w:pPr>
        <w:rPr>
          <w:sz w:val="28"/>
        </w:rPr>
      </w:pPr>
    </w:p>
    <w:p w14:paraId="2EA53CE4" w14:textId="77777777" w:rsidR="00E763E6" w:rsidRPr="00A66326" w:rsidRDefault="00E763E6" w:rsidP="00E763E6">
      <w:pPr>
        <w:spacing w:after="480"/>
        <w:rPr>
          <w:sz w:val="28"/>
        </w:rPr>
      </w:pPr>
      <w:r w:rsidRPr="00A66326">
        <w:rPr>
          <w:b/>
          <w:sz w:val="28"/>
        </w:rPr>
        <w:t xml:space="preserve">Date:  </w:t>
      </w:r>
      <w:r>
        <w:rPr>
          <w:b/>
          <w:sz w:val="28"/>
        </w:rPr>
        <w:t>2</w:t>
      </w:r>
      <w:r w:rsidRPr="002F3785">
        <w:rPr>
          <w:b/>
          <w:sz w:val="28"/>
          <w:vertAlign w:val="superscript"/>
        </w:rPr>
        <w:t>nd</w:t>
      </w:r>
      <w:r>
        <w:rPr>
          <w:b/>
          <w:sz w:val="28"/>
        </w:rPr>
        <w:t xml:space="preserve"> March 2021</w:t>
      </w:r>
    </w:p>
    <w:p w14:paraId="44F07724" w14:textId="77777777" w:rsidR="00E763E6" w:rsidRDefault="00E763E6" w:rsidP="00E763E6">
      <w:pPr>
        <w:pStyle w:val="Heading2"/>
        <w:keepNext/>
        <w:spacing w:after="240"/>
      </w:pPr>
      <w:r>
        <w:t>Section 4 - Contact Details and Background Papers</w:t>
      </w:r>
    </w:p>
    <w:p w14:paraId="1711A88F" w14:textId="228E4031" w:rsidR="00946E23" w:rsidRDefault="00946E23" w:rsidP="00946E23">
      <w:r>
        <w:t>Paul Hewitt, Corporate Director, People Services</w:t>
      </w:r>
    </w:p>
    <w:p w14:paraId="4641686C" w14:textId="130A7D9E" w:rsidR="00946E23" w:rsidRDefault="00946E23" w:rsidP="00946E23">
      <w:hyperlink r:id="rId9" w:history="1">
        <w:r w:rsidRPr="002D2170">
          <w:rPr>
            <w:rStyle w:val="Hyperlink"/>
          </w:rPr>
          <w:t>paul.hewitt@harrow.gov.uk</w:t>
        </w:r>
      </w:hyperlink>
    </w:p>
    <w:p w14:paraId="07FB8011" w14:textId="77777777" w:rsidR="00946E23" w:rsidRPr="00946E23" w:rsidRDefault="00946E23" w:rsidP="00946E23"/>
    <w:p w14:paraId="1950AB2A" w14:textId="77777777" w:rsidR="00E763E6" w:rsidRPr="00334EC4" w:rsidRDefault="00E763E6" w:rsidP="00E763E6">
      <w:pPr>
        <w:rPr>
          <w:rFonts w:cs="Arial"/>
        </w:rPr>
      </w:pPr>
      <w:bookmarkStart w:id="1" w:name="_GoBack"/>
      <w:bookmarkEnd w:id="1"/>
    </w:p>
    <w:p w14:paraId="46C3296C" w14:textId="77777777" w:rsidR="00E763E6" w:rsidRPr="00334EC4" w:rsidRDefault="00E763E6" w:rsidP="00E763E6">
      <w:pPr>
        <w:rPr>
          <w:rFonts w:cs="Arial"/>
        </w:rPr>
      </w:pPr>
    </w:p>
    <w:p w14:paraId="4818F2CB" w14:textId="77777777" w:rsidR="00E763E6" w:rsidRPr="00334EC4" w:rsidRDefault="00E763E6" w:rsidP="00E763E6">
      <w:pPr>
        <w:rPr>
          <w:rFonts w:cs="Arial"/>
        </w:rPr>
      </w:pPr>
    </w:p>
    <w:p w14:paraId="695B009D" w14:textId="77777777" w:rsidR="002A2389" w:rsidRDefault="002A2389" w:rsidP="00E763E6">
      <w:pPr>
        <w:pStyle w:val="Heading2"/>
      </w:pP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18B7D" w14:textId="77777777" w:rsidR="00576DC7" w:rsidRDefault="00576DC7">
      <w:r>
        <w:separator/>
      </w:r>
    </w:p>
  </w:endnote>
  <w:endnote w:type="continuationSeparator" w:id="0">
    <w:p w14:paraId="54EEC5A3" w14:textId="77777777" w:rsidR="00576DC7" w:rsidRDefault="0057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T3E9Do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4CDB8" w14:textId="77777777" w:rsidR="00576DC7" w:rsidRDefault="00576DC7">
      <w:r>
        <w:separator/>
      </w:r>
    </w:p>
  </w:footnote>
  <w:footnote w:type="continuationSeparator" w:id="0">
    <w:p w14:paraId="2D90A7F6" w14:textId="77777777" w:rsidR="00576DC7" w:rsidRDefault="00576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B6059A"/>
    <w:multiLevelType w:val="hybridMultilevel"/>
    <w:tmpl w:val="30AA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2"/>
  </w:num>
  <w:num w:numId="11">
    <w:abstractNumId w:val="15"/>
  </w:num>
  <w:num w:numId="12">
    <w:abstractNumId w:val="11"/>
  </w:num>
  <w:num w:numId="13">
    <w:abstractNumId w:val="2"/>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5/03/2021 15:15"/>
  </w:docVars>
  <w:rsids>
    <w:rsidRoot w:val="007E7303"/>
    <w:rsid w:val="00023F4C"/>
    <w:rsid w:val="00037CC9"/>
    <w:rsid w:val="0004625C"/>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E0219"/>
    <w:rsid w:val="001F32AB"/>
    <w:rsid w:val="00213BE7"/>
    <w:rsid w:val="00231A1D"/>
    <w:rsid w:val="00244120"/>
    <w:rsid w:val="002665BA"/>
    <w:rsid w:val="002811E2"/>
    <w:rsid w:val="00293F9F"/>
    <w:rsid w:val="002A2389"/>
    <w:rsid w:val="002C08E2"/>
    <w:rsid w:val="002C1794"/>
    <w:rsid w:val="002C2F73"/>
    <w:rsid w:val="002C6626"/>
    <w:rsid w:val="002D2FC5"/>
    <w:rsid w:val="002E6637"/>
    <w:rsid w:val="002E77E3"/>
    <w:rsid w:val="00304187"/>
    <w:rsid w:val="00321BB2"/>
    <w:rsid w:val="00332947"/>
    <w:rsid w:val="00333EB4"/>
    <w:rsid w:val="00345915"/>
    <w:rsid w:val="00365D29"/>
    <w:rsid w:val="00374F22"/>
    <w:rsid w:val="00382431"/>
    <w:rsid w:val="003D2FFE"/>
    <w:rsid w:val="00400032"/>
    <w:rsid w:val="0042394B"/>
    <w:rsid w:val="00437BC3"/>
    <w:rsid w:val="004639EC"/>
    <w:rsid w:val="00473B08"/>
    <w:rsid w:val="00474B5F"/>
    <w:rsid w:val="004A3282"/>
    <w:rsid w:val="004A3CE6"/>
    <w:rsid w:val="004A4A1D"/>
    <w:rsid w:val="004B2C9D"/>
    <w:rsid w:val="004B4A47"/>
    <w:rsid w:val="004D437C"/>
    <w:rsid w:val="004E667D"/>
    <w:rsid w:val="004E6AF9"/>
    <w:rsid w:val="005031DF"/>
    <w:rsid w:val="00576DC7"/>
    <w:rsid w:val="0058131C"/>
    <w:rsid w:val="00597314"/>
    <w:rsid w:val="005A23BA"/>
    <w:rsid w:val="005A61AF"/>
    <w:rsid w:val="005D0886"/>
    <w:rsid w:val="005E384D"/>
    <w:rsid w:val="005F2181"/>
    <w:rsid w:val="005F724B"/>
    <w:rsid w:val="00625DFF"/>
    <w:rsid w:val="0063072B"/>
    <w:rsid w:val="006336BD"/>
    <w:rsid w:val="00662891"/>
    <w:rsid w:val="006628B7"/>
    <w:rsid w:val="00675FCB"/>
    <w:rsid w:val="006A0B87"/>
    <w:rsid w:val="006B2FCF"/>
    <w:rsid w:val="006B3942"/>
    <w:rsid w:val="006C3914"/>
    <w:rsid w:val="006D3648"/>
    <w:rsid w:val="0074184E"/>
    <w:rsid w:val="00743829"/>
    <w:rsid w:val="00755F8D"/>
    <w:rsid w:val="00770D4C"/>
    <w:rsid w:val="00772D28"/>
    <w:rsid w:val="00793E48"/>
    <w:rsid w:val="00796503"/>
    <w:rsid w:val="007D2BDA"/>
    <w:rsid w:val="007D56C8"/>
    <w:rsid w:val="007E3934"/>
    <w:rsid w:val="007E7303"/>
    <w:rsid w:val="008212A0"/>
    <w:rsid w:val="00825BB9"/>
    <w:rsid w:val="00837F53"/>
    <w:rsid w:val="00890328"/>
    <w:rsid w:val="008D1750"/>
    <w:rsid w:val="008D7800"/>
    <w:rsid w:val="008E2910"/>
    <w:rsid w:val="008E4913"/>
    <w:rsid w:val="00900464"/>
    <w:rsid w:val="0090100E"/>
    <w:rsid w:val="00912904"/>
    <w:rsid w:val="00916EA5"/>
    <w:rsid w:val="00917EC5"/>
    <w:rsid w:val="0093767E"/>
    <w:rsid w:val="00946E23"/>
    <w:rsid w:val="00972A02"/>
    <w:rsid w:val="0099517C"/>
    <w:rsid w:val="009A0937"/>
    <w:rsid w:val="009B2ECD"/>
    <w:rsid w:val="009B7914"/>
    <w:rsid w:val="009E5EA4"/>
    <w:rsid w:val="009F430B"/>
    <w:rsid w:val="00A160B2"/>
    <w:rsid w:val="00A355C0"/>
    <w:rsid w:val="00A566E7"/>
    <w:rsid w:val="00A615AC"/>
    <w:rsid w:val="00A940D3"/>
    <w:rsid w:val="00A96FCA"/>
    <w:rsid w:val="00AA4BE8"/>
    <w:rsid w:val="00AC0435"/>
    <w:rsid w:val="00AC0AAB"/>
    <w:rsid w:val="00AC7BA9"/>
    <w:rsid w:val="00AF1BA3"/>
    <w:rsid w:val="00B0425E"/>
    <w:rsid w:val="00B11D0E"/>
    <w:rsid w:val="00B34403"/>
    <w:rsid w:val="00B46900"/>
    <w:rsid w:val="00B900E2"/>
    <w:rsid w:val="00B9118E"/>
    <w:rsid w:val="00BB663C"/>
    <w:rsid w:val="00BD6115"/>
    <w:rsid w:val="00BD684A"/>
    <w:rsid w:val="00C23AB0"/>
    <w:rsid w:val="00C32DAE"/>
    <w:rsid w:val="00C40E24"/>
    <w:rsid w:val="00C45E6F"/>
    <w:rsid w:val="00C61B80"/>
    <w:rsid w:val="00C92D9A"/>
    <w:rsid w:val="00C96EF5"/>
    <w:rsid w:val="00CB7D17"/>
    <w:rsid w:val="00D25064"/>
    <w:rsid w:val="00D32B51"/>
    <w:rsid w:val="00D34668"/>
    <w:rsid w:val="00D3740E"/>
    <w:rsid w:val="00D40335"/>
    <w:rsid w:val="00D82187"/>
    <w:rsid w:val="00D82F57"/>
    <w:rsid w:val="00D841A5"/>
    <w:rsid w:val="00D914D2"/>
    <w:rsid w:val="00DA25DB"/>
    <w:rsid w:val="00DB0791"/>
    <w:rsid w:val="00DD4251"/>
    <w:rsid w:val="00E02B50"/>
    <w:rsid w:val="00E03F11"/>
    <w:rsid w:val="00E06DC8"/>
    <w:rsid w:val="00E220B5"/>
    <w:rsid w:val="00E33D93"/>
    <w:rsid w:val="00E609EF"/>
    <w:rsid w:val="00E763E6"/>
    <w:rsid w:val="00E8515B"/>
    <w:rsid w:val="00E90AFF"/>
    <w:rsid w:val="00EB4C1E"/>
    <w:rsid w:val="00EE2D81"/>
    <w:rsid w:val="00EF2F91"/>
    <w:rsid w:val="00F22EA8"/>
    <w:rsid w:val="00F33EE3"/>
    <w:rsid w:val="00F4213B"/>
    <w:rsid w:val="00F849ED"/>
    <w:rsid w:val="00F8696C"/>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8E5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Default">
    <w:name w:val="Default"/>
    <w:rsid w:val="00E763E6"/>
    <w:pPr>
      <w:autoSpaceDE w:val="0"/>
      <w:autoSpaceDN w:val="0"/>
      <w:adjustRightInd w:val="0"/>
    </w:pPr>
    <w:rPr>
      <w:rFonts w:ascii="Arial" w:hAnsi="Arial" w:cs="Arial"/>
      <w:color w:val="000000"/>
      <w:sz w:val="24"/>
      <w:szCs w:val="24"/>
      <w:lang w:val="en-US" w:eastAsia="en-US"/>
    </w:rPr>
  </w:style>
  <w:style w:type="character" w:styleId="CommentReference">
    <w:name w:val="annotation reference"/>
    <w:rsid w:val="00E763E6"/>
    <w:rPr>
      <w:sz w:val="16"/>
      <w:szCs w:val="16"/>
    </w:rPr>
  </w:style>
  <w:style w:type="paragraph" w:styleId="CommentText">
    <w:name w:val="annotation text"/>
    <w:basedOn w:val="Normal"/>
    <w:link w:val="CommentTextChar"/>
    <w:rsid w:val="00E763E6"/>
    <w:rPr>
      <w:sz w:val="20"/>
    </w:rPr>
  </w:style>
  <w:style w:type="character" w:customStyle="1" w:styleId="CommentTextChar">
    <w:name w:val="Comment Text Char"/>
    <w:basedOn w:val="DefaultParagraphFont"/>
    <w:link w:val="CommentText"/>
    <w:rsid w:val="00E763E6"/>
    <w:rPr>
      <w:rFonts w:ascii="Arial" w:hAnsi="Arial"/>
      <w:lang w:eastAsia="en-US"/>
    </w:rPr>
  </w:style>
  <w:style w:type="table" w:customStyle="1" w:styleId="TableGrid">
    <w:name w:val="TableGrid"/>
    <w:rsid w:val="00E763E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semiHidden/>
    <w:unhideWhenUsed/>
    <w:rsid w:val="005A23BA"/>
    <w:rPr>
      <w:b/>
      <w:bCs/>
    </w:rPr>
  </w:style>
  <w:style w:type="character" w:customStyle="1" w:styleId="CommentSubjectChar">
    <w:name w:val="Comment Subject Char"/>
    <w:basedOn w:val="CommentTextChar"/>
    <w:link w:val="CommentSubject"/>
    <w:semiHidden/>
    <w:rsid w:val="005A23BA"/>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Default">
    <w:name w:val="Default"/>
    <w:rsid w:val="00E763E6"/>
    <w:pPr>
      <w:autoSpaceDE w:val="0"/>
      <w:autoSpaceDN w:val="0"/>
      <w:adjustRightInd w:val="0"/>
    </w:pPr>
    <w:rPr>
      <w:rFonts w:ascii="Arial" w:hAnsi="Arial" w:cs="Arial"/>
      <w:color w:val="000000"/>
      <w:sz w:val="24"/>
      <w:szCs w:val="24"/>
      <w:lang w:val="en-US" w:eastAsia="en-US"/>
    </w:rPr>
  </w:style>
  <w:style w:type="character" w:styleId="CommentReference">
    <w:name w:val="annotation reference"/>
    <w:rsid w:val="00E763E6"/>
    <w:rPr>
      <w:sz w:val="16"/>
      <w:szCs w:val="16"/>
    </w:rPr>
  </w:style>
  <w:style w:type="paragraph" w:styleId="CommentText">
    <w:name w:val="annotation text"/>
    <w:basedOn w:val="Normal"/>
    <w:link w:val="CommentTextChar"/>
    <w:rsid w:val="00E763E6"/>
    <w:rPr>
      <w:sz w:val="20"/>
    </w:rPr>
  </w:style>
  <w:style w:type="character" w:customStyle="1" w:styleId="CommentTextChar">
    <w:name w:val="Comment Text Char"/>
    <w:basedOn w:val="DefaultParagraphFont"/>
    <w:link w:val="CommentText"/>
    <w:rsid w:val="00E763E6"/>
    <w:rPr>
      <w:rFonts w:ascii="Arial" w:hAnsi="Arial"/>
      <w:lang w:eastAsia="en-US"/>
    </w:rPr>
  </w:style>
  <w:style w:type="table" w:customStyle="1" w:styleId="TableGrid">
    <w:name w:val="TableGrid"/>
    <w:rsid w:val="00E763E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semiHidden/>
    <w:unhideWhenUsed/>
    <w:rsid w:val="005A23BA"/>
    <w:rPr>
      <w:b/>
      <w:bCs/>
    </w:rPr>
  </w:style>
  <w:style w:type="character" w:customStyle="1" w:styleId="CommentSubjectChar">
    <w:name w:val="Comment Subject Char"/>
    <w:basedOn w:val="CommentTextChar"/>
    <w:link w:val="CommentSubject"/>
    <w:semiHidden/>
    <w:rsid w:val="005A23B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4676">
      <w:bodyDiv w:val="1"/>
      <w:marLeft w:val="0"/>
      <w:marRight w:val="0"/>
      <w:marTop w:val="0"/>
      <w:marBottom w:val="0"/>
      <w:divBdr>
        <w:top w:val="none" w:sz="0" w:space="0" w:color="auto"/>
        <w:left w:val="none" w:sz="0" w:space="0" w:color="auto"/>
        <w:bottom w:val="none" w:sz="0" w:space="0" w:color="auto"/>
        <w:right w:val="none" w:sz="0" w:space="0" w:color="auto"/>
      </w:divBdr>
    </w:div>
    <w:div w:id="20213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ul.hewitt@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1136</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7779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aatherto</cp:lastModifiedBy>
  <cp:revision>2</cp:revision>
  <cp:lastPrinted>2007-07-12T09:53:00Z</cp:lastPrinted>
  <dcterms:created xsi:type="dcterms:W3CDTF">2021-03-10T10:58:00Z</dcterms:created>
  <dcterms:modified xsi:type="dcterms:W3CDTF">2021-03-10T10:58:00Z</dcterms:modified>
</cp:coreProperties>
</file>